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4" w:rsidRPr="003879A1" w:rsidRDefault="00C75A1F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24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7240"/>
      </w:tblGrid>
      <w:tr w:rsidR="00DE29DC" w:rsidRPr="00CC4271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C4271" w:rsidRDefault="00CC4271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</w:pPr>
            <w:r w:rsidRPr="00CC4271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Statens Serum Institut (SSI), Copenhagen</w:t>
            </w:r>
          </w:p>
        </w:tc>
      </w:tr>
      <w:tr w:rsidR="00DE29DC" w:rsidRPr="007125DB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8B221F" w:rsidRDefault="00CC4271" w:rsidP="00A0066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November 28-29th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24CC0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sz w:val="24"/>
                <w:szCs w:val="24"/>
                <w:lang w:val="en-US"/>
              </w:rPr>
              <w:t>at 11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925F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206F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ends at 3 pm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210C7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DE29DC" w:rsidRPr="00144BB2" w:rsidRDefault="001E54F9" w:rsidP="00CC427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Kahlmeter (GK), Erika Matuschek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CC4271" w:rsidP="006A0E7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CG, AR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7125DB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CC42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NordicAST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CC42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Oslo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7125DB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8D23B0" w:rsidRPr="00DE1D8A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C75A1F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0E4631" w:rsidRDefault="0034530B" w:rsidP="000E4631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Administrative issues</w:t>
            </w:r>
            <w:r w:rsidR="00206F07">
              <w:rPr>
                <w:rFonts w:ascii="Times New Roman" w:hAnsi="Times New Roman"/>
                <w:sz w:val="24"/>
                <w:szCs w:val="24"/>
              </w:rPr>
              <w:t xml:space="preserve"> (DS</w:t>
            </w:r>
            <w:r w:rsidR="000E4631" w:rsidRPr="00210C77">
              <w:rPr>
                <w:rFonts w:ascii="Times New Roman" w:hAnsi="Times New Roman"/>
                <w:sz w:val="24"/>
                <w:szCs w:val="24"/>
              </w:rPr>
              <w:t>)</w:t>
            </w:r>
            <w:r w:rsidR="00792A77" w:rsidRP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FF1" w:rsidRPr="00A66B7B" w:rsidRDefault="00A66B7B" w:rsidP="00A66B7B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 chart</w:t>
            </w:r>
            <w:r w:rsidR="00C50B02" w:rsidRPr="00A66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6B7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9D6">
              <w:rPr>
                <w:rFonts w:ascii="Times New Roman" w:hAnsi="Times New Roman"/>
                <w:sz w:val="24"/>
                <w:szCs w:val="24"/>
                <w:lang w:val="en-US"/>
              </w:rPr>
              <w:t>document attached</w:t>
            </w:r>
            <w:r w:rsidRPr="00A66B7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E446C3" w:rsidRPr="00EE2EFB" w:rsidRDefault="0034530B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206F07" w:rsidRPr="00206F07" w:rsidRDefault="0034530B" w:rsidP="00206F0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The NordicAST hom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Default="00A66B7B" w:rsidP="00A66B7B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Translation in English</w:t>
            </w:r>
          </w:p>
          <w:p w:rsidR="00A66B7B" w:rsidRPr="00924CC0" w:rsidRDefault="00A66B7B" w:rsidP="00A66B7B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New picture</w:t>
            </w:r>
          </w:p>
        </w:tc>
      </w:tr>
      <w:tr w:rsidR="007E5EB8" w:rsidRPr="007125DB" w:rsidTr="007125DB">
        <w:trPr>
          <w:trHeight w:val="288"/>
        </w:trPr>
        <w:tc>
          <w:tcPr>
            <w:tcW w:w="795" w:type="dxa"/>
          </w:tcPr>
          <w:p w:rsidR="00FD21FE" w:rsidRPr="00EE2EFB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2D48D5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(GK/EM)</w:t>
            </w:r>
          </w:p>
          <w:p w:rsidR="0034530B" w:rsidRDefault="00DE1D8A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A66B7B" w:rsidRPr="007125DB" w:rsidRDefault="00852689" w:rsidP="00A66B7B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EUCAST b</w:t>
            </w:r>
            <w:r w:rsidR="00A66B7B">
              <w:rPr>
                <w:rFonts w:ascii="Times New Roman" w:hAnsi="Times New Roman"/>
                <w:sz w:val="24"/>
                <w:szCs w:val="24"/>
                <w:lang w:val="en-US"/>
              </w:rPr>
              <w:t>reakpoint table v 7.0</w:t>
            </w:r>
          </w:p>
        </w:tc>
      </w:tr>
      <w:tr w:rsidR="00A66B7B" w:rsidRPr="00C75A1F" w:rsidTr="007125DB">
        <w:trPr>
          <w:trHeight w:val="288"/>
        </w:trPr>
        <w:tc>
          <w:tcPr>
            <w:tcW w:w="795" w:type="dxa"/>
          </w:tcPr>
          <w:p w:rsidR="00A66B7B" w:rsidRPr="00EE2EFB" w:rsidRDefault="00A66B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8441" w:type="dxa"/>
          </w:tcPr>
          <w:p w:rsidR="00A66B7B" w:rsidRDefault="00852689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NordicAST b</w:t>
            </w:r>
            <w:r w:rsidR="00A66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reakpoint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66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table v 7.0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(day 1)</w:t>
            </w:r>
          </w:p>
          <w:p w:rsidR="00A66B7B" w:rsidRDefault="00A66B7B" w:rsidP="00A66B7B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Changes</w:t>
            </w:r>
          </w:p>
          <w:p w:rsidR="00A66B7B" w:rsidRPr="007125DB" w:rsidRDefault="00A66B7B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Finnish version</w:t>
            </w:r>
          </w:p>
        </w:tc>
      </w:tr>
      <w:tr w:rsidR="00305B6F" w:rsidRPr="00306FF1" w:rsidTr="007125DB">
        <w:trPr>
          <w:trHeight w:val="288"/>
        </w:trPr>
        <w:tc>
          <w:tcPr>
            <w:tcW w:w="795" w:type="dxa"/>
          </w:tcPr>
          <w:p w:rsidR="000E4631" w:rsidRDefault="00A66B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24C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0E4631" w:rsidRPr="00924CC0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A66B7B">
              <w:rPr>
                <w:rFonts w:ascii="Times New Roman" w:hAnsi="Times New Roman"/>
                <w:b/>
                <w:sz w:val="24"/>
                <w:szCs w:val="24"/>
              </w:rPr>
              <w:t xml:space="preserve"> 2017</w:t>
            </w:r>
          </w:p>
          <w:p w:rsidR="00A66B7B" w:rsidRDefault="00A66B7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Responsibilities</w:t>
            </w:r>
          </w:p>
          <w:p w:rsidR="00306FF1" w:rsidRDefault="00A66B7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</w:p>
          <w:p w:rsidR="00A66B7B" w:rsidRDefault="00A66B7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Social program</w:t>
            </w:r>
          </w:p>
          <w:p w:rsidR="00A66B7B" w:rsidRDefault="00A66B7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Practicalities</w:t>
            </w:r>
          </w:p>
          <w:p w:rsidR="007125DB" w:rsidRPr="00206F07" w:rsidRDefault="007125DB" w:rsidP="007125DB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206F07" w:rsidTr="007125DB">
        <w:trPr>
          <w:trHeight w:val="288"/>
        </w:trPr>
        <w:tc>
          <w:tcPr>
            <w:tcW w:w="795" w:type="dxa"/>
          </w:tcPr>
          <w:p w:rsidR="000E4631" w:rsidRPr="00206F07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206F07" w:rsidRDefault="00A66B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7E5EB8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E4631" w:rsidRPr="00206F07" w:rsidRDefault="000E4631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34530B" w:rsidRDefault="00A66B7B" w:rsidP="0034530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Methodology</w:t>
            </w:r>
            <w:r w:rsidR="0034530B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7E5EB8" w:rsidRPr="00306FF1" w:rsidTr="007125DB">
        <w:trPr>
          <w:trHeight w:val="272"/>
        </w:trPr>
        <w:tc>
          <w:tcPr>
            <w:tcW w:w="795" w:type="dxa"/>
          </w:tcPr>
          <w:p w:rsidR="007E5EB8" w:rsidRPr="00206F07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="00FA0019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441" w:type="dxa"/>
          </w:tcPr>
          <w:p w:rsidR="00CE3EC9" w:rsidRDefault="005B692D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Screening documents: MRSA and ESBL-CARBA </w:t>
            </w:r>
            <w:r w:rsidR="00487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draft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documents will be presented and discussed (</w:t>
            </w:r>
            <w:r w:rsidR="00507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be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distributed </w:t>
            </w:r>
            <w:r w:rsidR="005079D6">
              <w:rPr>
                <w:rFonts w:ascii="Times New Roman" w:hAnsi="Times New Roman"/>
                <w:sz w:val="24"/>
                <w:szCs w:val="24"/>
                <w:lang w:val="en-US"/>
              </w:rPr>
              <w:t>before the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3D4F5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06ACD" w:rsidRPr="005B692D" w:rsidRDefault="00706ACD" w:rsidP="00706AC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Group A: DH /IL/CG/MW/KR/KH</w:t>
            </w:r>
            <w:r w:rsidR="005B313C" w:rsidRPr="005B692D">
              <w:rPr>
                <w:rFonts w:ascii="Times New Roman" w:hAnsi="Times New Roman"/>
                <w:sz w:val="24"/>
                <w:szCs w:val="24"/>
                <w:lang w:val="en-US"/>
              </w:rPr>
              <w:t>/AW</w:t>
            </w:r>
          </w:p>
          <w:p w:rsidR="00706ACD" w:rsidRDefault="005B692D" w:rsidP="005B692D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ESBL-CARBA </w:t>
            </w:r>
            <w:r w:rsidR="00706ACD" w:rsidRPr="005B692D">
              <w:rPr>
                <w:rFonts w:ascii="Times New Roman" w:hAnsi="Times New Roman"/>
                <w:sz w:val="24"/>
                <w:szCs w:val="24"/>
                <w:lang w:val="en-US"/>
              </w:rPr>
              <w:t>screening</w:t>
            </w:r>
          </w:p>
          <w:p w:rsidR="005B692D" w:rsidRPr="005B692D" w:rsidRDefault="005B692D" w:rsidP="005B692D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ESBL-A/M screening</w:t>
            </w:r>
          </w:p>
          <w:p w:rsidR="005B692D" w:rsidRDefault="00706ACD" w:rsidP="005B692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Group B: KF/TL/TÅ/AP/DS</w:t>
            </w:r>
            <w:r w:rsidR="009B17CB" w:rsidRPr="005B692D">
              <w:rPr>
                <w:rFonts w:ascii="Times New Roman" w:hAnsi="Times New Roman"/>
                <w:sz w:val="24"/>
                <w:szCs w:val="24"/>
                <w:lang w:val="en-US"/>
              </w:rPr>
              <w:t>/AR</w:t>
            </w:r>
          </w:p>
          <w:p w:rsidR="005B692D" w:rsidRPr="005B692D" w:rsidRDefault="00706ACD" w:rsidP="005B692D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MRSA screening</w:t>
            </w:r>
          </w:p>
          <w:p w:rsidR="005B692D" w:rsidRPr="007125DB" w:rsidRDefault="005B692D" w:rsidP="007125DB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VRE screening</w:t>
            </w:r>
          </w:p>
        </w:tc>
      </w:tr>
      <w:tr w:rsidR="005B692D" w:rsidRPr="007125DB" w:rsidTr="007125DB">
        <w:trPr>
          <w:trHeight w:val="272"/>
        </w:trPr>
        <w:tc>
          <w:tcPr>
            <w:tcW w:w="795" w:type="dxa"/>
          </w:tcPr>
          <w:p w:rsidR="005B692D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8.2</w:t>
            </w:r>
          </w:p>
        </w:tc>
        <w:tc>
          <w:tcPr>
            <w:tcW w:w="8441" w:type="dxa"/>
          </w:tcPr>
          <w:p w:rsidR="005B692D" w:rsidRDefault="005079D6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79D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H.</w:t>
            </w:r>
            <w:r w:rsidR="005B692D" w:rsidRPr="005079D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infl</w:t>
            </w:r>
            <w:r w:rsidRPr="005079D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="005B692D" w:rsidRPr="005079D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enzae</w:t>
            </w:r>
            <w:r w:rsidR="005B692D">
              <w:rPr>
                <w:rFonts w:ascii="Times New Roman" w:hAnsi="Times New Roman"/>
                <w:sz w:val="24"/>
                <w:szCs w:val="24"/>
                <w:lang w:val="en-US"/>
              </w:rPr>
              <w:t>: English version (DS)</w:t>
            </w:r>
          </w:p>
        </w:tc>
      </w:tr>
      <w:tr w:rsidR="007E5EB8" w:rsidRPr="007125DB" w:rsidTr="007125DB">
        <w:trPr>
          <w:trHeight w:val="272"/>
        </w:trPr>
        <w:tc>
          <w:tcPr>
            <w:tcW w:w="795" w:type="dxa"/>
          </w:tcPr>
          <w:p w:rsidR="000E4631" w:rsidRPr="00136954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A0066C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7E5EB8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792A77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6F6B1D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55389F" w:rsidRPr="00A0066C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55389F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  <w:p w:rsidR="00EE2EFB" w:rsidRPr="00A0066C" w:rsidRDefault="00EE2EF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E4631" w:rsidRPr="00136954" w:rsidRDefault="000E4631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16299" w:rsidRPr="00136954" w:rsidRDefault="0034530B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 projects</w:t>
            </w:r>
            <w:r w:rsidR="005B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status</w:t>
            </w:r>
          </w:p>
          <w:p w:rsidR="00BB58B8" w:rsidRPr="00924CC0" w:rsidRDefault="005B692D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18458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he NordicAST 2016 CP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E-study” </w:t>
            </w:r>
            <w:r w:rsidR="003D4F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="003D4F50" w:rsidRPr="007125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status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55389F" w:rsidRPr="009E4040" w:rsidRDefault="005B692D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“Automated AST” </w:t>
            </w:r>
            <w:r w:rsidR="003D4F5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– status </w:t>
            </w:r>
            <w:r w:rsidR="0055389F" w:rsidRPr="009E4040">
              <w:rPr>
                <w:rFonts w:ascii="Times New Roman" w:hAnsi="Times New Roman"/>
                <w:sz w:val="24"/>
                <w:szCs w:val="24"/>
                <w:lang w:val="en-GB"/>
              </w:rPr>
              <w:t>(CG/EM/TL)</w:t>
            </w:r>
          </w:p>
          <w:p w:rsidR="00EE2EFB" w:rsidRPr="0055389F" w:rsidRDefault="00EE2EFB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125DB" w:rsidRPr="007125DB" w:rsidTr="007125DB">
        <w:trPr>
          <w:trHeight w:val="272"/>
        </w:trPr>
        <w:tc>
          <w:tcPr>
            <w:tcW w:w="795" w:type="dxa"/>
          </w:tcPr>
          <w:p w:rsidR="007125DB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:rsidR="007125DB" w:rsidRDefault="007125DB" w:rsidP="005079D6">
            <w:pPr>
              <w:spacing w:before="120" w:after="120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Colistin MIC – </w:t>
            </w:r>
            <w:r w:rsidRPr="007125D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P. aeruginosa</w:t>
            </w: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r w:rsidRPr="007125D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Acinetobacter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(EM)</w:t>
            </w:r>
          </w:p>
          <w:p w:rsidR="007125DB" w:rsidRPr="007125DB" w:rsidRDefault="007125DB" w:rsidP="005079D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7125DB" w:rsidTr="007125DB">
        <w:trPr>
          <w:trHeight w:val="272"/>
        </w:trPr>
        <w:tc>
          <w:tcPr>
            <w:tcW w:w="795" w:type="dxa"/>
          </w:tcPr>
          <w:p w:rsidR="00B24933" w:rsidRPr="005B692D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55389F" w:rsidRPr="005B692D" w:rsidRDefault="0055389F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5079D6" w:rsidRPr="005079D6" w:rsidRDefault="005079D6" w:rsidP="005079D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Penicillin-resistant group C streptococci (KF) </w:t>
            </w:r>
          </w:p>
          <w:p w:rsidR="0055389F" w:rsidRPr="005B692D" w:rsidRDefault="0055389F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5079D6" w:rsidTr="007125DB">
        <w:trPr>
          <w:trHeight w:val="272"/>
        </w:trPr>
        <w:tc>
          <w:tcPr>
            <w:tcW w:w="795" w:type="dxa"/>
          </w:tcPr>
          <w:p w:rsidR="00706ACD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706ACD" w:rsidRDefault="005079D6" w:rsidP="005079D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Group B / viridans streptococci – perform benzylpenicillin MIC in severe infections</w:t>
            </w: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 (CG)</w:t>
            </w:r>
          </w:p>
          <w:p w:rsidR="005079D6" w:rsidRPr="005079D6" w:rsidRDefault="005079D6" w:rsidP="005079D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16284" w:rsidRPr="007125DB" w:rsidTr="007125DB">
        <w:trPr>
          <w:trHeight w:val="272"/>
        </w:trPr>
        <w:tc>
          <w:tcPr>
            <w:tcW w:w="795" w:type="dxa"/>
          </w:tcPr>
          <w:p w:rsidR="00E16284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E16284" w:rsidRPr="00751232" w:rsidRDefault="00E16284" w:rsidP="00E16284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Ceftriaxone MIC breakpoints for </w:t>
            </w:r>
            <w:r w:rsidRPr="00706AC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P. acnes 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from systemic infections (UJ)</w:t>
            </w:r>
            <w:r w:rsidR="00706ACD"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06ACD" w:rsidRPr="0075123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9D6" w:rsidRPr="00751232">
              <w:rPr>
                <w:rFonts w:ascii="Times New Roman" w:hAnsi="Times New Roman"/>
                <w:sz w:val="24"/>
                <w:szCs w:val="24"/>
                <w:lang w:val="en-US"/>
              </w:rPr>
              <w:t>document attached</w:t>
            </w:r>
            <w:r w:rsidR="00706ACD" w:rsidRPr="0075123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E16284" w:rsidRPr="00706ACD" w:rsidRDefault="00E16284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7125DB" w:rsidTr="007125DB">
        <w:trPr>
          <w:trHeight w:val="272"/>
        </w:trPr>
        <w:tc>
          <w:tcPr>
            <w:tcW w:w="795" w:type="dxa"/>
          </w:tcPr>
          <w:p w:rsidR="00706ACD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706ACD" w:rsidRPr="00706ACD" w:rsidRDefault="00706ACD" w:rsidP="00706AC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Oral treatment of </w:t>
            </w:r>
            <w:r w:rsidRPr="005079D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S. pneumonia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r w:rsidRPr="005079D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H. influenzae</w:t>
            </w:r>
            <w:r w:rsid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with </w:t>
            </w: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amoxicillin (CG)</w:t>
            </w:r>
          </w:p>
          <w:p w:rsidR="00706ACD" w:rsidRPr="00706ACD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7125DB" w:rsidTr="007125DB">
        <w:trPr>
          <w:trHeight w:val="272"/>
        </w:trPr>
        <w:tc>
          <w:tcPr>
            <w:tcW w:w="795" w:type="dxa"/>
          </w:tcPr>
          <w:p w:rsidR="00706ACD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5079D6" w:rsidRPr="00706ACD" w:rsidRDefault="005079D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79D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H. influenzae</w:t>
            </w:r>
            <w:r w:rsidRP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interpretative rules for piperacillin-tazobactam (DS)</w:t>
            </w:r>
          </w:p>
        </w:tc>
      </w:tr>
      <w:tr w:rsidR="00706ACD" w:rsidRPr="007125DB" w:rsidTr="007125DB">
        <w:trPr>
          <w:trHeight w:val="272"/>
        </w:trPr>
        <w:tc>
          <w:tcPr>
            <w:tcW w:w="795" w:type="dxa"/>
          </w:tcPr>
          <w:p w:rsidR="00706ACD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706ACD" w:rsidRPr="00706ACD" w:rsidRDefault="00706ACD" w:rsidP="003D4F50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5B692D" w:rsidTr="007125DB">
        <w:trPr>
          <w:trHeight w:val="272"/>
        </w:trPr>
        <w:tc>
          <w:tcPr>
            <w:tcW w:w="795" w:type="dxa"/>
          </w:tcPr>
          <w:p w:rsidR="00B24933" w:rsidRPr="00136954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="00B24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B24933" w:rsidRPr="00C1078E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</w:t>
            </w:r>
            <w:r w:rsidR="00B24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eetings </w:t>
            </w:r>
            <w:r w:rsidR="005B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(DS</w:t>
            </w:r>
            <w:r w:rsidR="00B24933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706ACD" w:rsidRPr="00706ACD" w:rsidRDefault="005B692D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Helsinki</w:t>
            </w:r>
            <w:r w:rsidR="00706ACD">
              <w:rPr>
                <w:rFonts w:ascii="Times New Roman" w:hAnsi="Times New Roman"/>
                <w:sz w:val="24"/>
                <w:szCs w:val="24"/>
                <w:lang w:val="en-US"/>
              </w:rPr>
              <w:t>, 15-16 March 2017</w:t>
            </w:r>
          </w:p>
          <w:p w:rsidR="00706ACD" w:rsidRPr="00852689" w:rsidRDefault="00706ACD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22 May (Workshop 23-24 May)</w:t>
            </w:r>
          </w:p>
          <w:p w:rsidR="00852689" w:rsidRPr="00C03B5C" w:rsidRDefault="00852689" w:rsidP="0085268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Copenhagen/Kastrup, September 7, 2017</w:t>
            </w:r>
          </w:p>
          <w:p w:rsidR="00852689" w:rsidRPr="00206F07" w:rsidRDefault="00852689" w:rsidP="0085268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Stockholm, November 29-30, 2017</w:t>
            </w:r>
          </w:p>
        </w:tc>
      </w:tr>
      <w:tr w:rsidR="00B24933" w:rsidRPr="005B692D" w:rsidTr="007125DB">
        <w:trPr>
          <w:trHeight w:val="272"/>
        </w:trPr>
        <w:tc>
          <w:tcPr>
            <w:tcW w:w="795" w:type="dxa"/>
          </w:tcPr>
          <w:p w:rsidR="00B24933" w:rsidRPr="00EE2EFB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  <w:r w:rsidR="00B24933"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E16284" w:rsidRDefault="00E16284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Pr="00E16284" w:rsidRDefault="00B24933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ny other business</w:t>
            </w:r>
          </w:p>
        </w:tc>
      </w:tr>
      <w:tr w:rsidR="007125DB" w:rsidRPr="005B692D" w:rsidTr="007125DB">
        <w:trPr>
          <w:trHeight w:val="272"/>
        </w:trPr>
        <w:tc>
          <w:tcPr>
            <w:tcW w:w="795" w:type="dxa"/>
          </w:tcPr>
          <w:p w:rsidR="007125DB" w:rsidRDefault="007125D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7125DB" w:rsidRPr="00B24933" w:rsidRDefault="007125DB" w:rsidP="00B2493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Tønsberg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79D6">
        <w:rPr>
          <w:rFonts w:ascii="Times New Roman" w:hAnsi="Times New Roman"/>
          <w:sz w:val="24"/>
          <w:szCs w:val="24"/>
          <w:lang w:val="en-US"/>
        </w:rPr>
        <w:t>November 11</w:t>
      </w:r>
      <w:r w:rsidR="00706A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24CC0" w:rsidRPr="00DB0128">
        <w:rPr>
          <w:rFonts w:ascii="Times New Roman" w:hAnsi="Times New Roman"/>
          <w:sz w:val="24"/>
          <w:szCs w:val="24"/>
          <w:lang w:val="en-US"/>
        </w:rPr>
        <w:t>2016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03" w:rsidRDefault="00892B03" w:rsidP="006D7784">
      <w:pPr>
        <w:spacing w:after="0" w:line="240" w:lineRule="auto"/>
      </w:pPr>
      <w:r>
        <w:separator/>
      </w:r>
    </w:p>
  </w:endnote>
  <w:end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03" w:rsidRDefault="00892B03" w:rsidP="006D7784">
      <w:pPr>
        <w:spacing w:after="0" w:line="240" w:lineRule="auto"/>
      </w:pPr>
      <w:r>
        <w:separator/>
      </w:r>
    </w:p>
  </w:footnote>
  <w:foot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21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19"/>
  </w:num>
  <w:num w:numId="17">
    <w:abstractNumId w:val="24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3"/>
  </w:num>
  <w:num w:numId="22">
    <w:abstractNumId w:val="1"/>
  </w:num>
  <w:num w:numId="23">
    <w:abstractNumId w:val="18"/>
  </w:num>
  <w:num w:numId="24">
    <w:abstractNumId w:val="22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33A0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1CE0"/>
    <w:rsid w:val="002F3D7B"/>
    <w:rsid w:val="002F6296"/>
    <w:rsid w:val="00301AA7"/>
    <w:rsid w:val="00305B6F"/>
    <w:rsid w:val="00306FF1"/>
    <w:rsid w:val="00312F07"/>
    <w:rsid w:val="00314B7E"/>
    <w:rsid w:val="00326CE5"/>
    <w:rsid w:val="00332A3A"/>
    <w:rsid w:val="0034530B"/>
    <w:rsid w:val="00350F64"/>
    <w:rsid w:val="00360B1C"/>
    <w:rsid w:val="00363283"/>
    <w:rsid w:val="0036584D"/>
    <w:rsid w:val="00370677"/>
    <w:rsid w:val="003879A1"/>
    <w:rsid w:val="00387AEC"/>
    <w:rsid w:val="0039422E"/>
    <w:rsid w:val="003A03F6"/>
    <w:rsid w:val="003A1640"/>
    <w:rsid w:val="003A271C"/>
    <w:rsid w:val="003B08AF"/>
    <w:rsid w:val="003B366B"/>
    <w:rsid w:val="003B7F66"/>
    <w:rsid w:val="003C23C0"/>
    <w:rsid w:val="003C7EB9"/>
    <w:rsid w:val="003D203F"/>
    <w:rsid w:val="003D3DE7"/>
    <w:rsid w:val="003D4F50"/>
    <w:rsid w:val="003D765D"/>
    <w:rsid w:val="003E0586"/>
    <w:rsid w:val="003E0592"/>
    <w:rsid w:val="003F7CF4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F99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A0E76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17CB"/>
    <w:rsid w:val="009B2B4B"/>
    <w:rsid w:val="009C5B99"/>
    <w:rsid w:val="009D30FC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4134"/>
    <w:rsid w:val="00C6743A"/>
    <w:rsid w:val="00C75A1F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11F4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o:colormenu v:ext="edit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3374-04EA-45CE-B41E-595CDD55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krisorri</cp:lastModifiedBy>
  <cp:revision>2</cp:revision>
  <cp:lastPrinted>2011-02-01T14:16:00Z</cp:lastPrinted>
  <dcterms:created xsi:type="dcterms:W3CDTF">2016-12-01T11:08:00Z</dcterms:created>
  <dcterms:modified xsi:type="dcterms:W3CDTF">2016-12-01T11:08:00Z</dcterms:modified>
</cp:coreProperties>
</file>