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F0E" w:rsidRPr="00BE6F0E" w:rsidRDefault="00BE6F0E" w:rsidP="00BE6F0E">
      <w:pPr>
        <w:pStyle w:val="Titre"/>
      </w:pPr>
      <w:r w:rsidRPr="00BE6F0E">
        <w:t>COMPTES ANNUELS AU 31/12/2009</w:t>
      </w:r>
    </w:p>
    <w:p w:rsidR="00BE6F0E" w:rsidRPr="00BE6F0E" w:rsidRDefault="00487239" w:rsidP="00BE6F0E">
      <w:pPr>
        <w:pStyle w:val="Titre"/>
      </w:pPr>
      <w:r>
        <w:t>Annexe des comptes</w:t>
      </w:r>
    </w:p>
    <w:p w:rsidR="00BE6F0E" w:rsidRDefault="00BE6F0E" w:rsidP="00BE6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E6F0E" w:rsidRDefault="00BE6F0E" w:rsidP="00BE6F0E">
      <w:pPr>
        <w:pStyle w:val="Titre1"/>
      </w:pPr>
      <w:r>
        <w:t>FAITS MARQUANTS DE L’EXERCICE</w:t>
      </w:r>
    </w:p>
    <w:p w:rsidR="00BE6F0E" w:rsidRDefault="00BE6F0E" w:rsidP="00BE6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6F0E" w:rsidRDefault="00BE6F0E" w:rsidP="00BE6F0E">
      <w:pPr>
        <w:pStyle w:val="Titre2"/>
      </w:pPr>
      <w:r>
        <w:t>Création de la société</w:t>
      </w:r>
    </w:p>
    <w:p w:rsidR="00BE6F0E" w:rsidRDefault="002D2697" w:rsidP="00BE6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BSoft Team a été créé </w:t>
      </w:r>
      <w:r w:rsidR="000D3DA4">
        <w:rPr>
          <w:rFonts w:ascii="Times New Roman" w:hAnsi="Times New Roman" w:cs="Times New Roman"/>
          <w:sz w:val="24"/>
          <w:szCs w:val="24"/>
        </w:rPr>
        <w:t>cette</w:t>
      </w:r>
      <w:r>
        <w:rPr>
          <w:rFonts w:ascii="Times New Roman" w:hAnsi="Times New Roman" w:cs="Times New Roman"/>
          <w:sz w:val="24"/>
          <w:szCs w:val="24"/>
        </w:rPr>
        <w:t xml:space="preserve"> année le 08/01/2009</w:t>
      </w:r>
    </w:p>
    <w:p w:rsidR="00BE6F0E" w:rsidRDefault="00BE6F0E" w:rsidP="00BE6F0E">
      <w:pPr>
        <w:pStyle w:val="Titre1"/>
      </w:pPr>
      <w:r w:rsidRPr="00BE6F0E">
        <w:t>REGLES ET METHODES COMPTABLES</w:t>
      </w:r>
    </w:p>
    <w:p w:rsidR="00BE6F0E" w:rsidRPr="00BE6F0E" w:rsidRDefault="00BE6F0E" w:rsidP="00BE6F0E"/>
    <w:p w:rsidR="00BE6F0E" w:rsidRDefault="00BE6F0E" w:rsidP="00BE6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 comptes annuels de l'exercice clos le </w:t>
      </w:r>
      <w:r w:rsidRPr="00F857F1">
        <w:rPr>
          <w:rFonts w:ascii="Times New Roman" w:hAnsi="Times New Roman" w:cs="Times New Roman"/>
          <w:sz w:val="24"/>
          <w:szCs w:val="24"/>
        </w:rPr>
        <w:t>31 décembre 200</w:t>
      </w:r>
      <w:r w:rsidR="002D2697" w:rsidRPr="00F857F1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sont établis conformément aux dispositions du Code de Commerce, du Plan Comptable Général tels que décrits dans le règlement 99-03 et des pratiques comptables généralement admises en France.</w:t>
      </w:r>
    </w:p>
    <w:p w:rsidR="00BE6F0E" w:rsidRDefault="00BE6F0E" w:rsidP="00BE6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6F0E" w:rsidRDefault="00BE6F0E" w:rsidP="00BE6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conventions générales comptables ont été appliquées, dans le respect du principe de prudence, conformément aux hypothèses de base :</w:t>
      </w:r>
    </w:p>
    <w:p w:rsidR="00BE6F0E" w:rsidRDefault="00BE6F0E" w:rsidP="00BE6F0E">
      <w:pPr>
        <w:autoSpaceDE w:val="0"/>
        <w:autoSpaceDN w:val="0"/>
        <w:adjustRightInd w:val="0"/>
        <w:spacing w:after="0" w:line="240" w:lineRule="auto"/>
        <w:rPr>
          <w:rFonts w:ascii="Symbol" w:hAnsi="Symbol" w:cs="Symbol"/>
          <w:sz w:val="24"/>
          <w:szCs w:val="24"/>
        </w:rPr>
      </w:pPr>
    </w:p>
    <w:p w:rsidR="00BE6F0E" w:rsidRDefault="00BE6F0E" w:rsidP="00BE6F0E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6F0E">
        <w:rPr>
          <w:rFonts w:ascii="Times New Roman" w:hAnsi="Times New Roman" w:cs="Times New Roman"/>
          <w:sz w:val="24"/>
          <w:szCs w:val="24"/>
        </w:rPr>
        <w:t>continuité de l'exploitation,</w:t>
      </w:r>
    </w:p>
    <w:p w:rsidR="00BE6F0E" w:rsidRDefault="00BE6F0E" w:rsidP="00BE6F0E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6F0E">
        <w:rPr>
          <w:rFonts w:ascii="Times New Roman" w:hAnsi="Times New Roman" w:cs="Times New Roman"/>
          <w:sz w:val="24"/>
          <w:szCs w:val="24"/>
        </w:rPr>
        <w:t>permanence des méthodes com</w:t>
      </w:r>
      <w:r>
        <w:rPr>
          <w:rFonts w:ascii="Times New Roman" w:hAnsi="Times New Roman" w:cs="Times New Roman"/>
          <w:sz w:val="24"/>
          <w:szCs w:val="24"/>
        </w:rPr>
        <w:t>ptables d'un exercice à l'autre,</w:t>
      </w:r>
    </w:p>
    <w:p w:rsidR="00BE6F0E" w:rsidRPr="00BE6F0E" w:rsidRDefault="00BE6F0E" w:rsidP="00BE6F0E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6F0E">
        <w:rPr>
          <w:rFonts w:ascii="Times New Roman" w:hAnsi="Times New Roman" w:cs="Times New Roman"/>
          <w:sz w:val="24"/>
          <w:szCs w:val="24"/>
        </w:rPr>
        <w:t>indépendance des exercices,</w:t>
      </w:r>
    </w:p>
    <w:p w:rsidR="00BE6F0E" w:rsidRDefault="00BE6F0E" w:rsidP="00BE6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6F0E" w:rsidRDefault="00BE6F0E" w:rsidP="00BE6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conformément aux règles générales d'établissement et de présentation des comptes annuels.</w:t>
      </w:r>
    </w:p>
    <w:p w:rsidR="00BE6F0E" w:rsidRDefault="00BE6F0E" w:rsidP="00BE6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6F0E" w:rsidRDefault="00BE6F0E" w:rsidP="00BE6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méthode de base retenue pour l'évaluation des éléments inscrits en comptabilité est la méthode des coûts historiques. Les principales méthodes utilisées sont les suivantes :</w:t>
      </w:r>
    </w:p>
    <w:p w:rsidR="00BE6F0E" w:rsidRDefault="00BE6F0E" w:rsidP="00BE6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E6F0E" w:rsidRDefault="00BE6F0E" w:rsidP="00BE6F0E">
      <w:pPr>
        <w:pStyle w:val="Titre3"/>
      </w:pPr>
      <w:r>
        <w:t>1.1. IMMOBILISATIONS INCORPORELLES</w:t>
      </w:r>
    </w:p>
    <w:p w:rsidR="00BE6F0E" w:rsidRDefault="00BE6F0E" w:rsidP="00BE6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immobilisations incorporelles sont évaluées à leur coût d'acquisition ou à leur coût de production. Les amortissements pour dépréciation sont calculés selon le mode linéaire en fonction des durées d’utilisation estimées suivantes :</w:t>
      </w:r>
    </w:p>
    <w:p w:rsidR="00BE6F0E" w:rsidRPr="00BE6F0E" w:rsidRDefault="00BE6F0E" w:rsidP="00BE6F0E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6F0E">
        <w:rPr>
          <w:rFonts w:ascii="Times New Roman" w:hAnsi="Times New Roman" w:cs="Times New Roman"/>
          <w:sz w:val="24"/>
          <w:szCs w:val="24"/>
        </w:rPr>
        <w:t>brevets et frais de dépôts afférents : 10 ans</w:t>
      </w:r>
    </w:p>
    <w:p w:rsidR="00BE6F0E" w:rsidRPr="00BE6F0E" w:rsidRDefault="00BE6F0E" w:rsidP="00BE6F0E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6F0E">
        <w:rPr>
          <w:rFonts w:ascii="Times New Roman" w:hAnsi="Times New Roman" w:cs="Times New Roman"/>
          <w:sz w:val="24"/>
          <w:szCs w:val="24"/>
        </w:rPr>
        <w:t>recherche et développement : 5 ans</w:t>
      </w:r>
    </w:p>
    <w:p w:rsidR="00BE6F0E" w:rsidRPr="00BE6F0E" w:rsidRDefault="00BE6F0E" w:rsidP="00BE6F0E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6F0E">
        <w:rPr>
          <w:rFonts w:ascii="Times New Roman" w:hAnsi="Times New Roman" w:cs="Times New Roman"/>
          <w:sz w:val="24"/>
          <w:szCs w:val="24"/>
        </w:rPr>
        <w:t>autres immobilisations incorporelles (logiciels) : 1 à 5 ans</w:t>
      </w:r>
    </w:p>
    <w:p w:rsidR="00BE6F0E" w:rsidRDefault="00BE6F0E" w:rsidP="00BE6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6F0E" w:rsidRDefault="00BE6F0E" w:rsidP="00BE6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L’analyse de ces actifs n’a pas mis en évidence d’éléments nécessitant de déprécier en complément des amortissements.</w:t>
      </w:r>
    </w:p>
    <w:p w:rsidR="00BE6F0E" w:rsidRDefault="00BE6F0E" w:rsidP="00BE6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35658" w:rsidRDefault="00C35658">
      <w:pPr>
        <w:rPr>
          <w:rFonts w:asciiTheme="majorHAnsi" w:eastAsiaTheme="majorEastAsia" w:hAnsiTheme="majorHAnsi" w:cstheme="majorBidi"/>
          <w:color w:val="243F60" w:themeColor="accent1" w:themeShade="7F"/>
        </w:rPr>
      </w:pPr>
      <w:r>
        <w:br w:type="page"/>
      </w:r>
    </w:p>
    <w:p w:rsidR="00BE6F0E" w:rsidRDefault="00BE6F0E" w:rsidP="00C35658">
      <w:pPr>
        <w:pStyle w:val="Titre3"/>
      </w:pPr>
      <w:r>
        <w:lastRenderedPageBreak/>
        <w:t>1.2. IMMOBILISATIONS CORPORELLES</w:t>
      </w:r>
    </w:p>
    <w:p w:rsidR="00BE6F0E" w:rsidRDefault="00BE6F0E" w:rsidP="00BE6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immobilisations corporelles sont évaluées à leur coût d'acquisition (prix d'achat et frais</w:t>
      </w:r>
      <w:r w:rsidR="00C356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accessoires, hors frais d'acquisition des immobilisations) ou à leur coût de production.</w:t>
      </w:r>
    </w:p>
    <w:p w:rsidR="00BE6F0E" w:rsidRDefault="00BE6F0E" w:rsidP="00BE6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amortissements pour dépréciation sont calculés suivant le mode linéaire en fonction de la</w:t>
      </w:r>
      <w:r w:rsidR="00C356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durée d’utilisation estimée :</w:t>
      </w:r>
    </w:p>
    <w:p w:rsidR="00BE6F0E" w:rsidRPr="00C35658" w:rsidRDefault="00BE6F0E" w:rsidP="00C35658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5658">
        <w:rPr>
          <w:rFonts w:ascii="Times New Roman" w:hAnsi="Times New Roman" w:cs="Times New Roman"/>
          <w:sz w:val="24"/>
          <w:szCs w:val="24"/>
        </w:rPr>
        <w:t>constructions : 20 ans</w:t>
      </w:r>
    </w:p>
    <w:p w:rsidR="00BE6F0E" w:rsidRPr="00C35658" w:rsidRDefault="00BE6F0E" w:rsidP="00C35658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5658">
        <w:rPr>
          <w:rFonts w:ascii="Times New Roman" w:hAnsi="Times New Roman" w:cs="Times New Roman"/>
          <w:sz w:val="24"/>
          <w:szCs w:val="24"/>
        </w:rPr>
        <w:t>agencements et aménagements des constructions : 10 ans</w:t>
      </w:r>
    </w:p>
    <w:p w:rsidR="00BE6F0E" w:rsidRPr="00C35658" w:rsidRDefault="00BE6F0E" w:rsidP="00C35658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5658">
        <w:rPr>
          <w:rFonts w:ascii="Times New Roman" w:hAnsi="Times New Roman" w:cs="Times New Roman"/>
          <w:sz w:val="24"/>
          <w:szCs w:val="24"/>
        </w:rPr>
        <w:t>autres immobilisations corporelles : 3 à 5 ans</w:t>
      </w:r>
    </w:p>
    <w:p w:rsidR="00C35658" w:rsidRDefault="00C35658" w:rsidP="00BE6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E6F0E" w:rsidRDefault="00BE6F0E" w:rsidP="00C35658">
      <w:pPr>
        <w:pStyle w:val="Titre3"/>
      </w:pPr>
      <w:r>
        <w:t>1.3. IMMOBILISATIONS FINANCIERES</w:t>
      </w:r>
    </w:p>
    <w:p w:rsidR="00C35658" w:rsidRDefault="00C35658" w:rsidP="00BE6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57F1" w:rsidRDefault="00F857F1" w:rsidP="00BE6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Néant.</w:t>
      </w:r>
    </w:p>
    <w:p w:rsidR="00BE6F0E" w:rsidRDefault="00BE6F0E" w:rsidP="00C35658">
      <w:pPr>
        <w:pStyle w:val="Titre3"/>
      </w:pPr>
      <w:r>
        <w:t>1.4. ECARTS DE CONVERSION</w:t>
      </w:r>
    </w:p>
    <w:p w:rsidR="00C35658" w:rsidRDefault="00C35658" w:rsidP="00BE6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57F1" w:rsidRDefault="00387F5D" w:rsidP="00BE6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Néant.</w:t>
      </w:r>
    </w:p>
    <w:p w:rsidR="00BE6F0E" w:rsidRDefault="00BE6F0E" w:rsidP="00C35658">
      <w:pPr>
        <w:pStyle w:val="Titre3"/>
      </w:pPr>
      <w:r>
        <w:t>1.5. VALEURS MOBILIERES DE PLACEMENT</w:t>
      </w:r>
    </w:p>
    <w:p w:rsidR="00387F5D" w:rsidRDefault="00387F5D" w:rsidP="00387F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Néant.</w:t>
      </w:r>
    </w:p>
    <w:p w:rsidR="00BE6F0E" w:rsidRDefault="00BE6F0E" w:rsidP="00C35658">
      <w:pPr>
        <w:pStyle w:val="Titre3"/>
      </w:pPr>
      <w:r>
        <w:t>1.6. IMPOT SUR LES BENEFICES</w:t>
      </w:r>
    </w:p>
    <w:p w:rsidR="00387F5D" w:rsidRPr="00387F5D" w:rsidRDefault="00387F5D" w:rsidP="00387F5D">
      <w:r>
        <w:t>Néant.</w:t>
      </w:r>
    </w:p>
    <w:p w:rsidR="00BE6F0E" w:rsidRDefault="00BE6F0E" w:rsidP="00C35658">
      <w:pPr>
        <w:pStyle w:val="Titre4"/>
      </w:pPr>
      <w:r>
        <w:t>1.7. FRAIS D’EMISSION D’EMPRUNTS</w:t>
      </w:r>
    </w:p>
    <w:p w:rsidR="00BE6F0E" w:rsidRDefault="00BE6F0E" w:rsidP="00BE6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Conformément à l’option offerte par le PCG (art. 361-3), les commissions versées à des</w:t>
      </w:r>
      <w:r w:rsidR="00387F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intermédiaires financiers pour la mise en place de financements à moyen terme sont réparties</w:t>
      </w:r>
      <w:r w:rsidR="00387F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sur la durée de l’emprunt. L’année de leur premier enregistrement, ces frais sont enregistrés</w:t>
      </w:r>
      <w:r w:rsidR="00387F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 frais bancaires, puis transférés à l’actif pour leur montant total en charges à répartir via un</w:t>
      </w:r>
      <w:r w:rsidR="00387F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compte de transfert de charges.</w:t>
      </w:r>
    </w:p>
    <w:p w:rsidR="00BE6F0E" w:rsidRDefault="00BE6F0E" w:rsidP="00BE6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Ces charges à répartir font l’objet d’un amortissement linéaire sur la durée de l’emprunt.</w:t>
      </w:r>
    </w:p>
    <w:p w:rsidR="00BE6F0E" w:rsidRDefault="00BE6F0E" w:rsidP="00C35658">
      <w:pPr>
        <w:pStyle w:val="Titre3"/>
      </w:pPr>
      <w:r>
        <w:t>1.8. PRODUITS D’EXPLOITATION</w:t>
      </w:r>
    </w:p>
    <w:p w:rsidR="00387F5D" w:rsidRDefault="00387F5D" w:rsidP="00BE6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chiffre d’affaire de la société est composé exclusivement de </w:t>
      </w:r>
    </w:p>
    <w:p w:rsidR="00387F5D" w:rsidRPr="00387F5D" w:rsidRDefault="00387F5D" w:rsidP="00387F5D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prestations de services relatives à l’exploitation et le développements de sites Internet ou de logiciels</w:t>
      </w:r>
    </w:p>
    <w:p w:rsidR="00BE6F0E" w:rsidRDefault="00BE6F0E" w:rsidP="00C35658">
      <w:pPr>
        <w:pStyle w:val="Titre3"/>
      </w:pPr>
      <w:r>
        <w:t>1.9. DROIT INDIVIDUEL A LA FORMATION (DIF)</w:t>
      </w:r>
    </w:p>
    <w:p w:rsidR="00387F5D" w:rsidRDefault="00387F5D" w:rsidP="00387F5D">
      <w:pPr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Néant. Pas de personnel.</w:t>
      </w:r>
    </w:p>
    <w:p w:rsidR="00321029" w:rsidRDefault="00BE6F0E" w:rsidP="00C35658">
      <w:pPr>
        <w:pStyle w:val="Titre3"/>
      </w:pPr>
      <w:r>
        <w:t>1.10. AVANTAGES DU PERSONNEL</w:t>
      </w:r>
    </w:p>
    <w:p w:rsidR="00321029" w:rsidRDefault="00321029" w:rsidP="00321029">
      <w:pPr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Néant. Pas de personnel.</w:t>
      </w:r>
    </w:p>
    <w:p w:rsidR="00321029" w:rsidRPr="00321029" w:rsidRDefault="00321029" w:rsidP="00321029"/>
    <w:p w:rsidR="00BE6F0E" w:rsidRDefault="00BE6F0E" w:rsidP="00C35658">
      <w:pPr>
        <w:pStyle w:val="Titre3"/>
      </w:pPr>
      <w:r>
        <w:t>1.11. AVANCES ET CREDITS ALLOUES AUX DIRIGEANTS SOCIAUX</w:t>
      </w:r>
    </w:p>
    <w:p w:rsidR="00BE6F0E" w:rsidRDefault="00BE6F0E" w:rsidP="00BE6F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n’y a pas d’avances, prêts ou crédits alloués aux dirigeants sociaux.</w:t>
      </w:r>
    </w:p>
    <w:p w:rsidR="00BE6F0E" w:rsidRDefault="00321029" w:rsidP="00A074C0">
      <w:pPr>
        <w:pStyle w:val="Titre3"/>
      </w:pPr>
      <w:r>
        <w:t>1.12</w:t>
      </w:r>
      <w:r w:rsidR="00BE6F0E">
        <w:t>. EVENEMENTS POSTERIEURS A LA CLOTURE</w:t>
      </w:r>
    </w:p>
    <w:p w:rsidR="00A7156E" w:rsidRDefault="00BE6F0E" w:rsidP="00BE6F0E">
      <w:r>
        <w:rPr>
          <w:rFonts w:ascii="Times New Roman" w:hAnsi="Times New Roman" w:cs="Times New Roman"/>
          <w:sz w:val="24"/>
          <w:szCs w:val="24"/>
        </w:rPr>
        <w:t>Néant.</w:t>
      </w:r>
    </w:p>
    <w:sectPr w:rsidR="00A7156E" w:rsidSect="00A715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E8229B"/>
    <w:multiLevelType w:val="hybridMultilevel"/>
    <w:tmpl w:val="8C16C6B4"/>
    <w:lvl w:ilvl="0" w:tplc="C96A60A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88094B"/>
    <w:multiLevelType w:val="hybridMultilevel"/>
    <w:tmpl w:val="615C92F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4B5862"/>
    <w:multiLevelType w:val="hybridMultilevel"/>
    <w:tmpl w:val="EC0C3ECC"/>
    <w:lvl w:ilvl="0" w:tplc="CCE27DE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EC38C6"/>
    <w:multiLevelType w:val="hybridMultilevel"/>
    <w:tmpl w:val="0AE2C20C"/>
    <w:lvl w:ilvl="0" w:tplc="C96A60A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C57172"/>
    <w:multiLevelType w:val="hybridMultilevel"/>
    <w:tmpl w:val="9D1E14C0"/>
    <w:lvl w:ilvl="0" w:tplc="C96A60A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E6F0E"/>
    <w:rsid w:val="00011B73"/>
    <w:rsid w:val="00013164"/>
    <w:rsid w:val="0005404C"/>
    <w:rsid w:val="000822CF"/>
    <w:rsid w:val="000A62EF"/>
    <w:rsid w:val="000D0D5B"/>
    <w:rsid w:val="000D3DA4"/>
    <w:rsid w:val="000E420F"/>
    <w:rsid w:val="000E6BDB"/>
    <w:rsid w:val="001031DD"/>
    <w:rsid w:val="001077AB"/>
    <w:rsid w:val="00116898"/>
    <w:rsid w:val="001537D6"/>
    <w:rsid w:val="001714A8"/>
    <w:rsid w:val="00175408"/>
    <w:rsid w:val="00175D95"/>
    <w:rsid w:val="00181310"/>
    <w:rsid w:val="0019320B"/>
    <w:rsid w:val="001E73A1"/>
    <w:rsid w:val="00201B2B"/>
    <w:rsid w:val="00202FEA"/>
    <w:rsid w:val="0020738D"/>
    <w:rsid w:val="00227087"/>
    <w:rsid w:val="002453AD"/>
    <w:rsid w:val="00246A98"/>
    <w:rsid w:val="00277514"/>
    <w:rsid w:val="00296F16"/>
    <w:rsid w:val="002B0E6E"/>
    <w:rsid w:val="002B6F62"/>
    <w:rsid w:val="002D2697"/>
    <w:rsid w:val="002D6C98"/>
    <w:rsid w:val="002E4040"/>
    <w:rsid w:val="002F27ED"/>
    <w:rsid w:val="002F5BF7"/>
    <w:rsid w:val="00312FE9"/>
    <w:rsid w:val="00315EE2"/>
    <w:rsid w:val="00321029"/>
    <w:rsid w:val="00325905"/>
    <w:rsid w:val="003442D7"/>
    <w:rsid w:val="00387F5D"/>
    <w:rsid w:val="003A0298"/>
    <w:rsid w:val="003B0179"/>
    <w:rsid w:val="003B59A0"/>
    <w:rsid w:val="003C1DA8"/>
    <w:rsid w:val="003C4C7C"/>
    <w:rsid w:val="003F7C56"/>
    <w:rsid w:val="0041284F"/>
    <w:rsid w:val="00437551"/>
    <w:rsid w:val="00475734"/>
    <w:rsid w:val="00476220"/>
    <w:rsid w:val="00484A90"/>
    <w:rsid w:val="00487239"/>
    <w:rsid w:val="004C6D02"/>
    <w:rsid w:val="004D1BC1"/>
    <w:rsid w:val="004D622A"/>
    <w:rsid w:val="004D7CA6"/>
    <w:rsid w:val="004F4968"/>
    <w:rsid w:val="005112D5"/>
    <w:rsid w:val="005162A5"/>
    <w:rsid w:val="00524E8C"/>
    <w:rsid w:val="0053774C"/>
    <w:rsid w:val="005415A5"/>
    <w:rsid w:val="0056010E"/>
    <w:rsid w:val="005B1C5A"/>
    <w:rsid w:val="005C478F"/>
    <w:rsid w:val="0060613B"/>
    <w:rsid w:val="006069B2"/>
    <w:rsid w:val="00615499"/>
    <w:rsid w:val="006531EF"/>
    <w:rsid w:val="00685942"/>
    <w:rsid w:val="006C7759"/>
    <w:rsid w:val="006D771D"/>
    <w:rsid w:val="006F34D3"/>
    <w:rsid w:val="006F72BB"/>
    <w:rsid w:val="00701464"/>
    <w:rsid w:val="00702026"/>
    <w:rsid w:val="007024E5"/>
    <w:rsid w:val="00724C1B"/>
    <w:rsid w:val="00746C5B"/>
    <w:rsid w:val="007803F5"/>
    <w:rsid w:val="0078228E"/>
    <w:rsid w:val="0078421F"/>
    <w:rsid w:val="007922ED"/>
    <w:rsid w:val="00792E81"/>
    <w:rsid w:val="007B7E62"/>
    <w:rsid w:val="007C7B91"/>
    <w:rsid w:val="0080717E"/>
    <w:rsid w:val="00823B58"/>
    <w:rsid w:val="00826BB8"/>
    <w:rsid w:val="008365A1"/>
    <w:rsid w:val="00883F16"/>
    <w:rsid w:val="008850A8"/>
    <w:rsid w:val="008A5B06"/>
    <w:rsid w:val="00910DBA"/>
    <w:rsid w:val="009154CD"/>
    <w:rsid w:val="009425BD"/>
    <w:rsid w:val="00967613"/>
    <w:rsid w:val="009B4CCB"/>
    <w:rsid w:val="009C1035"/>
    <w:rsid w:val="009E38D2"/>
    <w:rsid w:val="009F0953"/>
    <w:rsid w:val="00A01282"/>
    <w:rsid w:val="00A074C0"/>
    <w:rsid w:val="00A07F1A"/>
    <w:rsid w:val="00A14284"/>
    <w:rsid w:val="00A2217E"/>
    <w:rsid w:val="00A31E2E"/>
    <w:rsid w:val="00A31EE3"/>
    <w:rsid w:val="00A462A7"/>
    <w:rsid w:val="00A50A9B"/>
    <w:rsid w:val="00A57F6C"/>
    <w:rsid w:val="00A677F3"/>
    <w:rsid w:val="00A7156E"/>
    <w:rsid w:val="00A8639E"/>
    <w:rsid w:val="00A96571"/>
    <w:rsid w:val="00AB36AA"/>
    <w:rsid w:val="00AC5A5A"/>
    <w:rsid w:val="00B00676"/>
    <w:rsid w:val="00B079F4"/>
    <w:rsid w:val="00B30E50"/>
    <w:rsid w:val="00B343A7"/>
    <w:rsid w:val="00B403A6"/>
    <w:rsid w:val="00B460BE"/>
    <w:rsid w:val="00B53C05"/>
    <w:rsid w:val="00B60899"/>
    <w:rsid w:val="00B65D37"/>
    <w:rsid w:val="00B83147"/>
    <w:rsid w:val="00B9453E"/>
    <w:rsid w:val="00B951C6"/>
    <w:rsid w:val="00BA43F9"/>
    <w:rsid w:val="00BB68C6"/>
    <w:rsid w:val="00BC2127"/>
    <w:rsid w:val="00BC615A"/>
    <w:rsid w:val="00BC69F5"/>
    <w:rsid w:val="00BD1D79"/>
    <w:rsid w:val="00BD1E52"/>
    <w:rsid w:val="00BD5D84"/>
    <w:rsid w:val="00BE6F0E"/>
    <w:rsid w:val="00BF18DD"/>
    <w:rsid w:val="00BF5D68"/>
    <w:rsid w:val="00C12CBF"/>
    <w:rsid w:val="00C236D2"/>
    <w:rsid w:val="00C23CCA"/>
    <w:rsid w:val="00C321C5"/>
    <w:rsid w:val="00C35658"/>
    <w:rsid w:val="00C60277"/>
    <w:rsid w:val="00C604D9"/>
    <w:rsid w:val="00C7293A"/>
    <w:rsid w:val="00C84DBE"/>
    <w:rsid w:val="00C9403D"/>
    <w:rsid w:val="00CC7732"/>
    <w:rsid w:val="00CD09D2"/>
    <w:rsid w:val="00D20565"/>
    <w:rsid w:val="00D33E46"/>
    <w:rsid w:val="00D54C6A"/>
    <w:rsid w:val="00D77FE5"/>
    <w:rsid w:val="00DA291F"/>
    <w:rsid w:val="00DA3883"/>
    <w:rsid w:val="00DA4EEC"/>
    <w:rsid w:val="00DB55F3"/>
    <w:rsid w:val="00DC4822"/>
    <w:rsid w:val="00DC4B32"/>
    <w:rsid w:val="00DC6402"/>
    <w:rsid w:val="00DF3978"/>
    <w:rsid w:val="00E0084A"/>
    <w:rsid w:val="00E017EA"/>
    <w:rsid w:val="00E0500A"/>
    <w:rsid w:val="00E13B3A"/>
    <w:rsid w:val="00E15CCF"/>
    <w:rsid w:val="00E24FAB"/>
    <w:rsid w:val="00E251F1"/>
    <w:rsid w:val="00E311AC"/>
    <w:rsid w:val="00E42D72"/>
    <w:rsid w:val="00E50D4B"/>
    <w:rsid w:val="00E555AC"/>
    <w:rsid w:val="00E656ED"/>
    <w:rsid w:val="00E73A6C"/>
    <w:rsid w:val="00E7524B"/>
    <w:rsid w:val="00E94686"/>
    <w:rsid w:val="00EB213E"/>
    <w:rsid w:val="00EC04F1"/>
    <w:rsid w:val="00EE6111"/>
    <w:rsid w:val="00F152D2"/>
    <w:rsid w:val="00F24D31"/>
    <w:rsid w:val="00F513E3"/>
    <w:rsid w:val="00F51D76"/>
    <w:rsid w:val="00F60BE1"/>
    <w:rsid w:val="00F66BDA"/>
    <w:rsid w:val="00F7344B"/>
    <w:rsid w:val="00F857F1"/>
    <w:rsid w:val="00FB513B"/>
    <w:rsid w:val="00FE1ED6"/>
    <w:rsid w:val="00FE3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56E"/>
  </w:style>
  <w:style w:type="paragraph" w:styleId="Titre1">
    <w:name w:val="heading 1"/>
    <w:basedOn w:val="Normal"/>
    <w:next w:val="Normal"/>
    <w:link w:val="Titre1Car"/>
    <w:uiPriority w:val="9"/>
    <w:qFormat/>
    <w:rsid w:val="00BE6F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E6F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E6F0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C3565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C3565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BE6F0E"/>
    <w:pPr>
      <w:overflowPunct w:val="0"/>
      <w:autoSpaceDE w:val="0"/>
      <w:autoSpaceDN w:val="0"/>
      <w:adjustRightInd w:val="0"/>
      <w:spacing w:before="240" w:after="60" w:line="240" w:lineRule="auto"/>
      <w:jc w:val="center"/>
      <w:textAlignment w:val="baseline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fr-FR"/>
    </w:rPr>
  </w:style>
  <w:style w:type="character" w:customStyle="1" w:styleId="TitreCar">
    <w:name w:val="Titre Car"/>
    <w:basedOn w:val="Policepardfaut"/>
    <w:link w:val="Titre"/>
    <w:uiPriority w:val="10"/>
    <w:rsid w:val="00BE6F0E"/>
    <w:rPr>
      <w:rFonts w:asciiTheme="majorHAnsi" w:eastAsiaTheme="majorEastAsia" w:hAnsiTheme="majorHAnsi" w:cstheme="majorBidi"/>
      <w:b/>
      <w:bCs/>
      <w:kern w:val="28"/>
      <w:sz w:val="32"/>
      <w:szCs w:val="32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BE6F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BE6F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BE6F0E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BE6F0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4Car">
    <w:name w:val="Titre 4 Car"/>
    <w:basedOn w:val="Policepardfaut"/>
    <w:link w:val="Titre4"/>
    <w:uiPriority w:val="9"/>
    <w:rsid w:val="00C3565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rsid w:val="00C35658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484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BELROSE, Audrey</dc:creator>
  <cp:keywords/>
  <dc:description/>
  <cp:lastModifiedBy>BELROSE, Audrey</cp:lastModifiedBy>
  <cp:revision>6</cp:revision>
  <dcterms:created xsi:type="dcterms:W3CDTF">2010-03-26T19:07:00Z</dcterms:created>
  <dcterms:modified xsi:type="dcterms:W3CDTF">2010-04-11T17:52:00Z</dcterms:modified>
</cp:coreProperties>
</file>