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FA7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bCs/>
          <w:lang w:eastAsia="pl-PL"/>
        </w:rPr>
      </w:pPr>
      <w:bookmarkStart w:id="0" w:name="_GoBack"/>
      <w:bookmarkEnd w:id="0"/>
      <w:r>
        <w:rPr>
          <w:rFonts w:ascii="Book Antiqua" w:eastAsia="Times New Roman" w:hAnsi="Book Antiqua" w:cs="Times New Roman"/>
          <w:b/>
          <w:bCs/>
          <w:lang w:eastAsia="pl-PL"/>
        </w:rPr>
        <w:t>Przewłaszczenie</w:t>
      </w:r>
      <w:r w:rsidRPr="00BA1BB0">
        <w:rPr>
          <w:rFonts w:ascii="Book Antiqua" w:eastAsia="Times New Roman" w:hAnsi="Book Antiqua" w:cs="Times New Roman"/>
          <w:b/>
          <w:bCs/>
          <w:lang w:eastAsia="pl-PL"/>
        </w:rPr>
        <w:t xml:space="preserve"> na zabezpieczenie</w:t>
      </w:r>
      <w:r w:rsidR="004C4020">
        <w:rPr>
          <w:rFonts w:ascii="Book Antiqua" w:eastAsia="Times New Roman" w:hAnsi="Book Antiqua" w:cs="Times New Roman"/>
          <w:b/>
          <w:bCs/>
          <w:lang w:eastAsia="pl-PL"/>
        </w:rPr>
        <w:t xml:space="preserve"> oraz zastaw</w:t>
      </w:r>
      <w:r w:rsidR="00BB2E01">
        <w:rPr>
          <w:rFonts w:ascii="Book Antiqua" w:eastAsia="Times New Roman" w:hAnsi="Book Antiqua" w:cs="Times New Roman"/>
          <w:b/>
          <w:bCs/>
          <w:lang w:eastAsia="pl-PL"/>
        </w:rPr>
        <w:t xml:space="preserve"> – jak </w:t>
      </w:r>
      <w:r w:rsidR="00210010">
        <w:rPr>
          <w:rFonts w:ascii="Book Antiqua" w:eastAsia="Times New Roman" w:hAnsi="Book Antiqua" w:cs="Times New Roman"/>
          <w:b/>
          <w:bCs/>
          <w:lang w:eastAsia="pl-PL"/>
        </w:rPr>
        <w:t xml:space="preserve">je </w:t>
      </w:r>
      <w:r w:rsidR="00BB2E01">
        <w:rPr>
          <w:rFonts w:ascii="Book Antiqua" w:eastAsia="Times New Roman" w:hAnsi="Book Antiqua" w:cs="Times New Roman"/>
          <w:b/>
          <w:bCs/>
          <w:lang w:eastAsia="pl-PL"/>
        </w:rPr>
        <w:t xml:space="preserve">wykorzystać? </w:t>
      </w:r>
    </w:p>
    <w:p w:rsidR="00BB2E01" w:rsidRPr="00BB2E01" w:rsidRDefault="00BB2E01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Cs/>
          <w:lang w:eastAsia="pl-PL"/>
        </w:rPr>
      </w:pPr>
      <w:r w:rsidRPr="00BB2E01">
        <w:rPr>
          <w:rFonts w:ascii="Book Antiqua" w:eastAsia="Times New Roman" w:hAnsi="Book Antiqua" w:cs="Times New Roman"/>
          <w:bCs/>
          <w:lang w:eastAsia="pl-PL"/>
        </w:rPr>
        <w:t xml:space="preserve">Jasnym jest, że dobre zabezpieczenie naszych interesów to coś, co może się przydać na </w:t>
      </w:r>
      <w:r>
        <w:rPr>
          <w:rFonts w:ascii="Book Antiqua" w:eastAsia="Times New Roman" w:hAnsi="Book Antiqua" w:cs="Times New Roman"/>
          <w:bCs/>
          <w:lang w:eastAsia="pl-PL"/>
        </w:rPr>
        <w:t xml:space="preserve">każdym poziomie prowadzenia działalności gospodarczej – wbrew pozorom nie trzeba być bowiem rekinem biznesu, aby działać jak rekin. W dzisiejszym mailingu </w:t>
      </w:r>
      <w:r w:rsidR="004C4020">
        <w:rPr>
          <w:rFonts w:ascii="Book Antiqua" w:eastAsia="Times New Roman" w:hAnsi="Book Antiqua" w:cs="Times New Roman"/>
          <w:bCs/>
          <w:lang w:eastAsia="pl-PL"/>
        </w:rPr>
        <w:t xml:space="preserve">omówimy </w:t>
      </w:r>
      <w:r>
        <w:rPr>
          <w:rFonts w:ascii="Book Antiqua" w:eastAsia="Times New Roman" w:hAnsi="Book Antiqua" w:cs="Times New Roman"/>
          <w:bCs/>
          <w:lang w:eastAsia="pl-PL"/>
        </w:rPr>
        <w:t>rozwiąza</w:t>
      </w:r>
      <w:r w:rsidR="004C4020">
        <w:rPr>
          <w:rFonts w:ascii="Book Antiqua" w:eastAsia="Times New Roman" w:hAnsi="Book Antiqua" w:cs="Times New Roman"/>
          <w:bCs/>
          <w:lang w:eastAsia="pl-PL"/>
        </w:rPr>
        <w:t>nia</w:t>
      </w:r>
      <w:r>
        <w:rPr>
          <w:rFonts w:ascii="Book Antiqua" w:eastAsia="Times New Roman" w:hAnsi="Book Antiqua" w:cs="Times New Roman"/>
          <w:bCs/>
          <w:lang w:eastAsia="pl-PL"/>
        </w:rPr>
        <w:t xml:space="preserve">, które może wykorzystać praktycznie każdy przedsiębiorca chcący zabezpieczyć się na wypadek niewypłacalności dłużnika. </w:t>
      </w:r>
    </w:p>
    <w:p w:rsidR="00BB2E01" w:rsidRDefault="00BB2E01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bCs/>
          <w:i/>
          <w:lang w:eastAsia="pl-PL"/>
        </w:rPr>
      </w:pPr>
      <w:r>
        <w:rPr>
          <w:rFonts w:ascii="Book Antiqua" w:eastAsia="Times New Roman" w:hAnsi="Book Antiqua" w:cs="Times New Roman"/>
          <w:b/>
          <w:bCs/>
          <w:i/>
          <w:lang w:eastAsia="pl-PL"/>
        </w:rPr>
        <w:t xml:space="preserve">Niniejszy mail jest fragmentem szkolenia Białych Kołnierzyków </w:t>
      </w:r>
    </w:p>
    <w:p w:rsidR="004C4020" w:rsidRPr="00BB2E01" w:rsidRDefault="004C4020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bCs/>
          <w:i/>
          <w:lang w:eastAsia="pl-PL"/>
        </w:rPr>
      </w:pPr>
    </w:p>
    <w:p w:rsidR="004C4020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 w:rsidRPr="00BB2E01">
        <w:rPr>
          <w:rFonts w:ascii="Book Antiqua" w:eastAsia="Times New Roman" w:hAnsi="Book Antiqua" w:cs="Times New Roman"/>
          <w:b/>
          <w:lang w:eastAsia="pl-PL"/>
        </w:rPr>
        <w:t>Przewłaszczenie na zabezpieczenie</w:t>
      </w:r>
      <w:r>
        <w:rPr>
          <w:rFonts w:ascii="Book Antiqua" w:eastAsia="Times New Roman" w:hAnsi="Book Antiqua" w:cs="Times New Roman"/>
          <w:lang w:eastAsia="pl-PL"/>
        </w:rPr>
        <w:t xml:space="preserve"> </w:t>
      </w:r>
    </w:p>
    <w:p w:rsidR="00392FA7" w:rsidRDefault="004C4020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>J</w:t>
      </w:r>
      <w:r w:rsidR="00392FA7">
        <w:rPr>
          <w:rFonts w:ascii="Book Antiqua" w:eastAsia="Times New Roman" w:hAnsi="Book Antiqua" w:cs="Times New Roman"/>
          <w:lang w:eastAsia="pl-PL"/>
        </w:rPr>
        <w:t xml:space="preserve">est </w:t>
      </w:r>
      <w:r>
        <w:rPr>
          <w:rFonts w:ascii="Book Antiqua" w:eastAsia="Times New Roman" w:hAnsi="Book Antiqua" w:cs="Times New Roman"/>
          <w:lang w:eastAsia="pl-PL"/>
        </w:rPr>
        <w:t xml:space="preserve">to </w:t>
      </w:r>
      <w:r w:rsidR="00392FA7">
        <w:rPr>
          <w:rFonts w:ascii="Book Antiqua" w:eastAsia="Times New Roman" w:hAnsi="Book Antiqua" w:cs="Times New Roman"/>
          <w:lang w:eastAsia="pl-PL"/>
        </w:rPr>
        <w:t>instytucj</w:t>
      </w:r>
      <w:r>
        <w:rPr>
          <w:rFonts w:ascii="Book Antiqua" w:eastAsia="Times New Roman" w:hAnsi="Book Antiqua" w:cs="Times New Roman"/>
          <w:lang w:eastAsia="pl-PL"/>
        </w:rPr>
        <w:t>a</w:t>
      </w:r>
      <w:r w:rsidR="00392FA7">
        <w:rPr>
          <w:rFonts w:ascii="Book Antiqua" w:eastAsia="Times New Roman" w:hAnsi="Book Antiqua" w:cs="Times New Roman"/>
          <w:lang w:eastAsia="pl-PL"/>
        </w:rPr>
        <w:t xml:space="preserve">, która nie została uregulowana w przepisach i wykształciła się w obrocie gospodarczym. Polega ona na tym, że </w:t>
      </w:r>
      <w:r w:rsidR="00392FA7" w:rsidRPr="00687311">
        <w:rPr>
          <w:rFonts w:ascii="Book Antiqua" w:eastAsia="Times New Roman" w:hAnsi="Book Antiqua" w:cs="Times New Roman"/>
          <w:b/>
          <w:bCs/>
          <w:lang w:eastAsia="pl-PL"/>
        </w:rPr>
        <w:t>wierzyciel nabywa od dłużnika własność ustalonej w umowie rzeczy, pozostawiając jednocześnie dłużnikowi możliwość korzystania z rzeczy</w:t>
      </w:r>
      <w:r w:rsidR="00392FA7">
        <w:rPr>
          <w:rFonts w:ascii="Book Antiqua" w:eastAsia="Times New Roman" w:hAnsi="Book Antiqua" w:cs="Times New Roman"/>
          <w:lang w:eastAsia="pl-PL"/>
        </w:rPr>
        <w:t xml:space="preserve">. </w:t>
      </w:r>
    </w:p>
    <w:p w:rsidR="00392FA7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 xml:space="preserve">Istotą przewłaszczenia na zabezpieczenie jest ograniczenie w umowie prawa własności wierzyciela (nabywcy rzeczy) przez złożenie przez niego </w:t>
      </w:r>
      <w:r w:rsidRPr="00687311">
        <w:rPr>
          <w:rFonts w:ascii="Book Antiqua" w:eastAsia="Times New Roman" w:hAnsi="Book Antiqua" w:cs="Times New Roman"/>
          <w:b/>
          <w:bCs/>
          <w:lang w:eastAsia="pl-PL"/>
        </w:rPr>
        <w:t>zobowiązania do niezbywania rzeczy oraz niekorzystania z rzeczy</w:t>
      </w:r>
      <w:r>
        <w:rPr>
          <w:rFonts w:ascii="Book Antiqua" w:eastAsia="Times New Roman" w:hAnsi="Book Antiqua" w:cs="Times New Roman"/>
          <w:lang w:eastAsia="pl-PL"/>
        </w:rPr>
        <w:t>, chyba że dłużnik nie wykona zobowiązania.</w:t>
      </w:r>
    </w:p>
    <w:p w:rsidR="00392FA7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 xml:space="preserve">Przewłaszczenie na zabezpieczenie może dotyczyć zarówno ruchomości jak i nieruchomości, z tym zastrzeżeniem, iż w przypadku nieruchomości konieczne jest zawarcie dwóch odrębnych umów (pierwszej o bezwarunkowym przeniesieniu własności, a druga o zobowiązaniu wierzyciela do przeniesienia własności po wykonaniu zobowiązania przez dłużnika – druga umowa ma </w:t>
      </w:r>
      <w:r w:rsidRPr="00252A0F">
        <w:rPr>
          <w:rFonts w:ascii="Book Antiqua" w:eastAsia="Times New Roman" w:hAnsi="Book Antiqua" w:cs="Times New Roman"/>
          <w:i/>
          <w:iCs/>
          <w:lang w:eastAsia="pl-PL"/>
        </w:rPr>
        <w:t xml:space="preserve">de </w:t>
      </w:r>
      <w:proofErr w:type="spellStart"/>
      <w:r w:rsidRPr="00252A0F">
        <w:rPr>
          <w:rFonts w:ascii="Book Antiqua" w:eastAsia="Times New Roman" w:hAnsi="Book Antiqua" w:cs="Times New Roman"/>
          <w:i/>
          <w:iCs/>
          <w:lang w:eastAsia="pl-PL"/>
        </w:rPr>
        <w:t>faco</w:t>
      </w:r>
      <w:proofErr w:type="spellEnd"/>
      <w:r>
        <w:rPr>
          <w:rFonts w:ascii="Book Antiqua" w:eastAsia="Times New Roman" w:hAnsi="Book Antiqua" w:cs="Times New Roman"/>
          <w:lang w:eastAsia="pl-PL"/>
        </w:rPr>
        <w:t xml:space="preserve"> charakter umowy przedwstępnej).</w:t>
      </w:r>
    </w:p>
    <w:p w:rsidR="00392FA7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 w:rsidRPr="00687311">
        <w:rPr>
          <w:rFonts w:ascii="Book Antiqua" w:eastAsia="Times New Roman" w:hAnsi="Book Antiqua" w:cs="Times New Roman"/>
          <w:b/>
          <w:bCs/>
          <w:lang w:eastAsia="pl-PL"/>
        </w:rPr>
        <w:t>Przewłaszczenie na zabezpieczenie jest szczególnie popularne w przypadku usług finansowych</w:t>
      </w:r>
      <w:r>
        <w:rPr>
          <w:rFonts w:ascii="Book Antiqua" w:eastAsia="Times New Roman" w:hAnsi="Book Antiqua" w:cs="Times New Roman"/>
          <w:lang w:eastAsia="pl-PL"/>
        </w:rPr>
        <w:t xml:space="preserve"> np. kredytów samochodowych – bowiem pozwala na szybkie zaspokojenie się wierzyciela w razie niewywiązania się przez dłużnika ze swojego zobowiązania.</w:t>
      </w:r>
    </w:p>
    <w:p w:rsidR="00392FA7" w:rsidRPr="00687311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bCs/>
          <w:lang w:eastAsia="pl-PL"/>
        </w:rPr>
      </w:pPr>
      <w:r w:rsidRPr="00687311">
        <w:rPr>
          <w:rFonts w:ascii="Book Antiqua" w:eastAsia="Times New Roman" w:hAnsi="Book Antiqua" w:cs="Times New Roman"/>
          <w:b/>
          <w:bCs/>
          <w:lang w:eastAsia="pl-PL"/>
        </w:rPr>
        <w:t>Zabezpieczenie to nie wymaga bowiem uzyskania tytułu egzekucyjnego ani wykonawczego, a także przeprowadzania postępowania egzekucyjnego.</w:t>
      </w:r>
    </w:p>
    <w:p w:rsidR="00392FA7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 xml:space="preserve">Forma zawarcia umowy zawierającej zabezpieczenie w postaci przewłaszczenia na zabezpieczenie </w:t>
      </w:r>
      <w:r w:rsidRPr="00687311">
        <w:rPr>
          <w:rFonts w:ascii="Book Antiqua" w:eastAsia="Times New Roman" w:hAnsi="Book Antiqua" w:cs="Times New Roman"/>
          <w:b/>
          <w:bCs/>
          <w:lang w:eastAsia="pl-PL"/>
        </w:rPr>
        <w:t>może wymagać zachowania formy szczególnej</w:t>
      </w:r>
      <w:r>
        <w:rPr>
          <w:rFonts w:ascii="Book Antiqua" w:eastAsia="Times New Roman" w:hAnsi="Book Antiqua" w:cs="Times New Roman"/>
          <w:lang w:eastAsia="pl-PL"/>
        </w:rPr>
        <w:t xml:space="preserve"> w przypadku, gdy przedmiotem zabezpieczenia będą przedmioty, dla których obrotu forma taka jest wymagana. Przykładowo umowa przewidująca przewłaszczenie nieruchomości na zabezpieczenie wymagać będzie zachowania formy aktu notarialnego.</w:t>
      </w:r>
    </w:p>
    <w:p w:rsidR="00392FA7" w:rsidRPr="00BB2E01" w:rsidRDefault="00392FA7" w:rsidP="00392FA7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lang w:eastAsia="pl-PL"/>
        </w:rPr>
      </w:pPr>
      <w:r w:rsidRPr="00BB2E01">
        <w:rPr>
          <w:rFonts w:ascii="Book Antiqua" w:eastAsia="Times New Roman" w:hAnsi="Book Antiqua" w:cs="Times New Roman"/>
          <w:b/>
          <w:lang w:eastAsia="pl-PL"/>
        </w:rPr>
        <w:t>Przykładowe postanowienie przewidujące zabezpieczenie w postaci przewłaszczenia na zabezpieczenie może przyjąć następującą formę:</w:t>
      </w:r>
    </w:p>
    <w:p w:rsidR="00392FA7" w:rsidRDefault="00392FA7" w:rsidP="00392FA7">
      <w:pPr>
        <w:spacing w:before="100" w:beforeAutospacing="1" w:after="100" w:afterAutospacing="1" w:line="240" w:lineRule="auto"/>
        <w:ind w:left="567" w:right="567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  <w:r>
        <w:rPr>
          <w:rFonts w:ascii="Book Antiqua" w:eastAsia="Times New Roman" w:hAnsi="Book Antiqua" w:cs="Times New Roman"/>
          <w:i/>
          <w:iCs/>
          <w:lang w:eastAsia="pl-PL"/>
        </w:rPr>
        <w:t>„1. W celu zabezpieczenia wierzytelności przysługującej Pożyczkodawcy określonej w § (…) niniejszej Umowy, Pożyczkobiorca oświadcza, że z dniem (…) przenosi na wierzyciela własność i posiadanie następujących rzeczy ruchomych (…).</w:t>
      </w:r>
    </w:p>
    <w:p w:rsidR="00392FA7" w:rsidRDefault="00392FA7" w:rsidP="00392FA7">
      <w:pPr>
        <w:spacing w:before="100" w:beforeAutospacing="1" w:after="100" w:afterAutospacing="1" w:line="240" w:lineRule="auto"/>
        <w:ind w:left="567" w:right="567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  <w:r>
        <w:rPr>
          <w:rFonts w:ascii="Book Antiqua" w:eastAsia="Times New Roman" w:hAnsi="Book Antiqua" w:cs="Times New Roman"/>
          <w:i/>
          <w:iCs/>
          <w:lang w:eastAsia="pl-PL"/>
        </w:rPr>
        <w:t>2. Pożyczkobiorca stanie się z powrotem wyłącznym właścicielem przedmioty przewłaszczenia, bez dokonywania odrębnych czynności prawnych, jeżeli w terminie określonym w § (…) niniejszej Umowy zwróci wierzytelność określoną w § (…) niniejszej Umowy wraz z odsetkami.”</w:t>
      </w:r>
    </w:p>
    <w:p w:rsidR="004C4020" w:rsidRPr="00105725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b/>
          <w:bCs/>
          <w:lang w:eastAsia="pl-PL"/>
        </w:rPr>
      </w:pPr>
      <w:r w:rsidRPr="00105725">
        <w:rPr>
          <w:rFonts w:ascii="Book Antiqua" w:eastAsia="Times New Roman" w:hAnsi="Book Antiqua" w:cs="Times New Roman"/>
          <w:b/>
          <w:bCs/>
          <w:lang w:eastAsia="pl-PL"/>
        </w:rPr>
        <w:lastRenderedPageBreak/>
        <w:t>Zastaw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 xml:space="preserve">Jest to zabezpieczenie podobne do hipoteki, jednak dotyczące ruchomości. </w:t>
      </w:r>
      <w:r w:rsidRPr="00177159">
        <w:rPr>
          <w:rFonts w:ascii="Book Antiqua" w:eastAsia="Times New Roman" w:hAnsi="Book Antiqua" w:cs="Times New Roman"/>
          <w:b/>
          <w:bCs/>
          <w:lang w:eastAsia="pl-PL"/>
        </w:rPr>
        <w:t>Zabezpieczenie w postaci zastawu polega na obciążeniu rzeczy ruchomej</w:t>
      </w:r>
      <w:r>
        <w:rPr>
          <w:rFonts w:ascii="Book Antiqua" w:eastAsia="Times New Roman" w:hAnsi="Book Antiqua" w:cs="Times New Roman"/>
          <w:lang w:eastAsia="pl-PL"/>
        </w:rPr>
        <w:t xml:space="preserve"> (np. samochodu) </w:t>
      </w:r>
      <w:r w:rsidRPr="00177159">
        <w:rPr>
          <w:rFonts w:ascii="Book Antiqua" w:eastAsia="Times New Roman" w:hAnsi="Book Antiqua" w:cs="Times New Roman"/>
          <w:b/>
          <w:bCs/>
          <w:lang w:eastAsia="pl-PL"/>
        </w:rPr>
        <w:t>prawem, na mocy którego wierzyciel ma prawo uzyskać spłatę z ruchomości</w:t>
      </w:r>
      <w:r>
        <w:rPr>
          <w:rFonts w:ascii="Book Antiqua" w:eastAsia="Times New Roman" w:hAnsi="Book Antiqua" w:cs="Times New Roman"/>
          <w:lang w:eastAsia="pl-PL"/>
        </w:rPr>
        <w:t xml:space="preserve"> (ruchomość jest sprzedawana, a uzyskane środki przeznaczane są na spłatę zobowiązań). Istotne jest przy tym, iż </w:t>
      </w:r>
      <w:r w:rsidRPr="00AB41B4">
        <w:rPr>
          <w:rFonts w:ascii="Book Antiqua" w:eastAsia="Times New Roman" w:hAnsi="Book Antiqua" w:cs="Times New Roman"/>
          <w:b/>
          <w:lang w:eastAsia="pl-PL"/>
        </w:rPr>
        <w:t>zabezpieczenie w postaci zastawu obowiązuje bez względu na to, czyją własnością rzecz się stanie (nawet jeśli zostanie sprzedana)</w:t>
      </w:r>
      <w:r>
        <w:rPr>
          <w:rFonts w:ascii="Book Antiqua" w:eastAsia="Times New Roman" w:hAnsi="Book Antiqua" w:cs="Times New Roman"/>
          <w:lang w:eastAsia="pl-PL"/>
        </w:rPr>
        <w:t xml:space="preserve"> i to</w:t>
      </w:r>
      <w:r w:rsidRPr="00197C16">
        <w:rPr>
          <w:rFonts w:ascii="Book Antiqua" w:eastAsia="Times New Roman" w:hAnsi="Book Antiqua" w:cs="Times New Roman"/>
          <w:lang w:eastAsia="pl-PL"/>
        </w:rPr>
        <w:t xml:space="preserve"> z pierwszeństwem przed wierzycielami osobistymi </w:t>
      </w:r>
      <w:r>
        <w:rPr>
          <w:rFonts w:ascii="Book Antiqua" w:eastAsia="Times New Roman" w:hAnsi="Book Antiqua" w:cs="Times New Roman"/>
          <w:lang w:eastAsia="pl-PL"/>
        </w:rPr>
        <w:t xml:space="preserve">nowego </w:t>
      </w:r>
      <w:r w:rsidRPr="00197C16">
        <w:rPr>
          <w:rFonts w:ascii="Book Antiqua" w:eastAsia="Times New Roman" w:hAnsi="Book Antiqua" w:cs="Times New Roman"/>
          <w:lang w:eastAsia="pl-PL"/>
        </w:rPr>
        <w:t>właściciela rzeczy</w:t>
      </w:r>
      <w:r>
        <w:rPr>
          <w:rFonts w:ascii="Book Antiqua" w:eastAsia="Times New Roman" w:hAnsi="Book Antiqua" w:cs="Times New Roman"/>
          <w:lang w:eastAsia="pl-PL"/>
        </w:rPr>
        <w:t xml:space="preserve"> (z pewnymi wyjątkami np. w przypadku alimentów)</w:t>
      </w:r>
      <w:r w:rsidRPr="00197C16">
        <w:rPr>
          <w:rFonts w:ascii="Book Antiqua" w:eastAsia="Times New Roman" w:hAnsi="Book Antiqua" w:cs="Times New Roman"/>
          <w:lang w:eastAsia="pl-PL"/>
        </w:rPr>
        <w:t>.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 w:rsidRPr="00177159">
        <w:rPr>
          <w:rFonts w:ascii="Book Antiqua" w:eastAsia="Times New Roman" w:hAnsi="Book Antiqua" w:cs="Times New Roman"/>
          <w:b/>
          <w:bCs/>
          <w:lang w:eastAsia="pl-PL"/>
        </w:rPr>
        <w:t>Zastaw może zabezpieczać zarówno zobowiązanie pieniężne, jak i niepieniężne</w:t>
      </w:r>
      <w:r>
        <w:rPr>
          <w:rFonts w:ascii="Book Antiqua" w:eastAsia="Times New Roman" w:hAnsi="Book Antiqua" w:cs="Times New Roman"/>
          <w:lang w:eastAsia="pl-PL"/>
        </w:rPr>
        <w:t>,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a także dług</w:t>
      </w:r>
      <w:r>
        <w:rPr>
          <w:rFonts w:ascii="Book Antiqua" w:eastAsia="Times New Roman" w:hAnsi="Book Antiqua" w:cs="Times New Roman"/>
          <w:lang w:eastAsia="pl-PL"/>
        </w:rPr>
        <w:t>i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któr</w:t>
      </w:r>
      <w:r>
        <w:rPr>
          <w:rFonts w:ascii="Book Antiqua" w:eastAsia="Times New Roman" w:hAnsi="Book Antiqua" w:cs="Times New Roman"/>
          <w:lang w:eastAsia="pl-PL"/>
        </w:rPr>
        <w:t>e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zostan</w:t>
      </w:r>
      <w:r>
        <w:rPr>
          <w:rFonts w:ascii="Book Antiqua" w:eastAsia="Times New Roman" w:hAnsi="Book Antiqua" w:cs="Times New Roman"/>
          <w:lang w:eastAsia="pl-PL"/>
        </w:rPr>
        <w:t xml:space="preserve">ą dopiero zaciągnięte </w:t>
      </w:r>
      <w:r w:rsidRPr="006B69DA">
        <w:rPr>
          <w:rFonts w:ascii="Book Antiqua" w:eastAsia="Times New Roman" w:hAnsi="Book Antiqua" w:cs="Times New Roman"/>
          <w:lang w:eastAsia="pl-PL"/>
        </w:rPr>
        <w:t xml:space="preserve">w przyszłości lub </w:t>
      </w:r>
      <w:r>
        <w:rPr>
          <w:rFonts w:ascii="Book Antiqua" w:eastAsia="Times New Roman" w:hAnsi="Book Antiqua" w:cs="Times New Roman"/>
          <w:lang w:eastAsia="pl-PL"/>
        </w:rPr>
        <w:t>zabezpieczać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wierzytelnoś</w:t>
      </w:r>
      <w:r>
        <w:rPr>
          <w:rFonts w:ascii="Book Antiqua" w:eastAsia="Times New Roman" w:hAnsi="Book Antiqua" w:cs="Times New Roman"/>
          <w:lang w:eastAsia="pl-PL"/>
        </w:rPr>
        <w:t>ć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</w:t>
      </w:r>
      <w:r>
        <w:rPr>
          <w:rFonts w:ascii="Book Antiqua" w:eastAsia="Times New Roman" w:hAnsi="Book Antiqua" w:cs="Times New Roman"/>
          <w:lang w:eastAsia="pl-PL"/>
        </w:rPr>
        <w:t>warunkową</w:t>
      </w:r>
      <w:r w:rsidRPr="006B69DA">
        <w:rPr>
          <w:rFonts w:ascii="Book Antiqua" w:eastAsia="Times New Roman" w:hAnsi="Book Antiqua" w:cs="Times New Roman"/>
          <w:lang w:eastAsia="pl-PL"/>
        </w:rPr>
        <w:t>.</w:t>
      </w:r>
      <w:r>
        <w:rPr>
          <w:rFonts w:ascii="Book Antiqua" w:eastAsia="Times New Roman" w:hAnsi="Book Antiqua" w:cs="Times New Roman"/>
          <w:lang w:eastAsia="pl-PL"/>
        </w:rPr>
        <w:t xml:space="preserve"> W przypadku zabezpieczenie zobowiązania niepieniężnego konieczne jest jednak istnienie możliwości zmiany wierzytelności niepieniężnej w pieniężną np. zabezpieczenie zwrotu użyczonej rzeczy, które wskutek jej zniszczenia przekształca się </w:t>
      </w:r>
      <w:r>
        <w:rPr>
          <w:rFonts w:ascii="Book Antiqua" w:eastAsia="Times New Roman" w:hAnsi="Book Antiqua" w:cs="Times New Roman"/>
          <w:lang w:eastAsia="pl-PL"/>
        </w:rPr>
        <w:br/>
        <w:t>w roszczenie o odszkodowanie z tytułu utraty rzeczy.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 w:rsidRPr="00177159">
        <w:rPr>
          <w:rFonts w:ascii="Book Antiqua" w:eastAsia="Times New Roman" w:hAnsi="Book Antiqua" w:cs="Times New Roman"/>
          <w:b/>
          <w:bCs/>
          <w:lang w:eastAsia="pl-PL"/>
        </w:rPr>
        <w:t>Do ustanowienia zastawu potrzebna jest umowa między właścicielem a wierzycielem</w:t>
      </w:r>
      <w:r>
        <w:rPr>
          <w:rFonts w:ascii="Book Antiqua" w:eastAsia="Times New Roman" w:hAnsi="Book Antiqua" w:cs="Times New Roman"/>
          <w:lang w:eastAsia="pl-PL"/>
        </w:rPr>
        <w:t xml:space="preserve"> </w:t>
      </w:r>
      <w:r w:rsidRPr="006B69DA">
        <w:rPr>
          <w:rFonts w:ascii="Book Antiqua" w:eastAsia="Times New Roman" w:hAnsi="Book Antiqua" w:cs="Times New Roman"/>
          <w:lang w:eastAsia="pl-PL"/>
        </w:rPr>
        <w:t>oraz</w:t>
      </w:r>
      <w:r>
        <w:rPr>
          <w:rFonts w:ascii="Book Antiqua" w:eastAsia="Times New Roman" w:hAnsi="Book Antiqua" w:cs="Times New Roman"/>
          <w:lang w:eastAsia="pl-PL"/>
        </w:rPr>
        <w:t xml:space="preserve"> co do zasady </w:t>
      </w:r>
      <w:r w:rsidRPr="00177159">
        <w:rPr>
          <w:rFonts w:ascii="Book Antiqua" w:eastAsia="Times New Roman" w:hAnsi="Book Antiqua" w:cs="Times New Roman"/>
          <w:b/>
          <w:bCs/>
          <w:lang w:eastAsia="pl-PL"/>
        </w:rPr>
        <w:t>wydanie rzeczy wierzycielowi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albo osobie trzeciej, </w:t>
      </w:r>
      <w:r>
        <w:rPr>
          <w:rFonts w:ascii="Book Antiqua" w:eastAsia="Times New Roman" w:hAnsi="Book Antiqua" w:cs="Times New Roman"/>
          <w:lang w:eastAsia="pl-PL"/>
        </w:rPr>
        <w:t xml:space="preserve">wskazanej przez obie strony.  Postanowienia dotyczące zastawu można wprowadzić do umowy zawartej w formie co najmniej pisemnej, </w:t>
      </w:r>
      <w:proofErr w:type="gramStart"/>
      <w:r>
        <w:rPr>
          <w:rFonts w:ascii="Book Antiqua" w:eastAsia="Times New Roman" w:hAnsi="Book Antiqua" w:cs="Times New Roman"/>
          <w:lang w:eastAsia="pl-PL"/>
        </w:rPr>
        <w:t>jednak</w:t>
      </w:r>
      <w:proofErr w:type="gramEnd"/>
      <w:r>
        <w:rPr>
          <w:rFonts w:ascii="Book Antiqua" w:eastAsia="Times New Roman" w:hAnsi="Book Antiqua" w:cs="Times New Roman"/>
          <w:lang w:eastAsia="pl-PL"/>
        </w:rPr>
        <w:t xml:space="preserve"> jeśli zastaw ma być skuteczny wobec </w:t>
      </w:r>
      <w:r w:rsidRPr="006B69DA">
        <w:rPr>
          <w:rFonts w:ascii="Book Antiqua" w:eastAsia="Times New Roman" w:hAnsi="Book Antiqua" w:cs="Times New Roman"/>
          <w:lang w:eastAsia="pl-PL"/>
        </w:rPr>
        <w:t>wierzycieli zastawcy</w:t>
      </w:r>
      <w:r>
        <w:rPr>
          <w:rFonts w:ascii="Book Antiqua" w:eastAsia="Times New Roman" w:hAnsi="Book Antiqua" w:cs="Times New Roman"/>
          <w:lang w:eastAsia="pl-PL"/>
        </w:rPr>
        <w:t xml:space="preserve">, wymagane jest zawarcie umowy w formie pisemnej </w:t>
      </w:r>
      <w:r w:rsidRPr="006B69DA">
        <w:rPr>
          <w:rFonts w:ascii="Book Antiqua" w:eastAsia="Times New Roman" w:hAnsi="Book Antiqua" w:cs="Times New Roman"/>
          <w:lang w:eastAsia="pl-PL"/>
        </w:rPr>
        <w:t>z datą pewną</w:t>
      </w:r>
      <w:r>
        <w:rPr>
          <w:rFonts w:ascii="Book Antiqua" w:eastAsia="Times New Roman" w:hAnsi="Book Antiqua" w:cs="Times New Roman"/>
          <w:lang w:eastAsia="pl-PL"/>
        </w:rPr>
        <w:t xml:space="preserve"> (poświadczenie daty)</w:t>
      </w:r>
      <w:r w:rsidRPr="006B69DA">
        <w:rPr>
          <w:rFonts w:ascii="Book Antiqua" w:eastAsia="Times New Roman" w:hAnsi="Book Antiqua" w:cs="Times New Roman"/>
          <w:lang w:eastAsia="pl-PL"/>
        </w:rPr>
        <w:t>.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>Wydanie wierzycielowi rzeczy objętej zastawem nie oznacza przy tym uprawnienia do korzystania z rzeczy – czynność ta ma jedynie zabezpieczyć rzecz objętą zastawem przed zniszczeniem, uszkodzeniem lub ukryciem przez dłużnika. Pomimo, iż wierzyciel może fizycznie posiadać rzecz objętą zastawem, d</w:t>
      </w:r>
      <w:r w:rsidRPr="006B69DA">
        <w:rPr>
          <w:rFonts w:ascii="Book Antiqua" w:eastAsia="Times New Roman" w:hAnsi="Book Antiqua" w:cs="Times New Roman"/>
          <w:lang w:eastAsia="pl-PL"/>
        </w:rPr>
        <w:t xml:space="preserve">o spłaty wierzytelności z wykorzystaniem zastawionej rzeczy niezbędne jest uzyskanie tytułu wykonawczego a następnie </w:t>
      </w:r>
      <w:r>
        <w:rPr>
          <w:rFonts w:ascii="Book Antiqua" w:eastAsia="Times New Roman" w:hAnsi="Book Antiqua" w:cs="Times New Roman"/>
          <w:lang w:eastAsia="pl-PL"/>
        </w:rPr>
        <w:t xml:space="preserve">przeprowadzenie </w:t>
      </w:r>
      <w:r w:rsidRPr="006B69DA">
        <w:rPr>
          <w:rFonts w:ascii="Book Antiqua" w:eastAsia="Times New Roman" w:hAnsi="Book Antiqua" w:cs="Times New Roman"/>
          <w:lang w:eastAsia="pl-PL"/>
        </w:rPr>
        <w:t>czynności komornicz</w:t>
      </w:r>
      <w:r>
        <w:rPr>
          <w:rFonts w:ascii="Book Antiqua" w:eastAsia="Times New Roman" w:hAnsi="Book Antiqua" w:cs="Times New Roman"/>
          <w:lang w:eastAsia="pl-PL"/>
        </w:rPr>
        <w:t>ych</w:t>
      </w:r>
      <w:r w:rsidRPr="006B69DA">
        <w:rPr>
          <w:rFonts w:ascii="Book Antiqua" w:eastAsia="Times New Roman" w:hAnsi="Book Antiqua" w:cs="Times New Roman"/>
          <w:lang w:eastAsia="pl-PL"/>
        </w:rPr>
        <w:t xml:space="preserve">. </w:t>
      </w:r>
      <w:r w:rsidRPr="00177159">
        <w:rPr>
          <w:rFonts w:ascii="Book Antiqua" w:eastAsia="Times New Roman" w:hAnsi="Book Antiqua" w:cs="Times New Roman"/>
          <w:b/>
          <w:bCs/>
          <w:lang w:eastAsia="pl-PL"/>
        </w:rPr>
        <w:t xml:space="preserve">Wierzyciel nie może sam postanowić </w:t>
      </w:r>
      <w:r>
        <w:rPr>
          <w:rFonts w:ascii="Book Antiqua" w:eastAsia="Times New Roman" w:hAnsi="Book Antiqua" w:cs="Times New Roman"/>
          <w:b/>
          <w:bCs/>
          <w:lang w:eastAsia="pl-PL"/>
        </w:rPr>
        <w:br/>
      </w:r>
      <w:r w:rsidRPr="00177159">
        <w:rPr>
          <w:rFonts w:ascii="Book Antiqua" w:eastAsia="Times New Roman" w:hAnsi="Book Antiqua" w:cs="Times New Roman"/>
          <w:b/>
          <w:bCs/>
          <w:lang w:eastAsia="pl-PL"/>
        </w:rPr>
        <w:t>o sprzedaży rzeczy.</w:t>
      </w:r>
      <w:r w:rsidRPr="006B69DA">
        <w:rPr>
          <w:rFonts w:ascii="Book Antiqua" w:eastAsia="Times New Roman" w:hAnsi="Book Antiqua" w:cs="Times New Roman"/>
          <w:lang w:eastAsia="pl-PL"/>
        </w:rPr>
        <w:t xml:space="preserve"> Jest to jedno z istotnych ograniczeń tego zabezpieczenia.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>Warto przy tym pamiętać, iż zgodnie z art. 311 ustawy Kodeks cywilny nieważne jest zastrzeżenie, przez które zastawca (dłużnik) zobowiązuje się względem zastawnika (wierzyciela), że nie dokona zbycia lub obciążenia rzeczy przed wygaśnięciem zastawu.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t>Przykładowe postanowienie umowne przewidujące ustanowienie zabezpieczenia w postaci zastawu może brzmieć następująco:</w:t>
      </w:r>
    </w:p>
    <w:p w:rsidR="004C4020" w:rsidRDefault="004C4020" w:rsidP="004C4020">
      <w:pPr>
        <w:spacing w:before="100" w:beforeAutospacing="1" w:after="100" w:afterAutospacing="1" w:line="240" w:lineRule="auto"/>
        <w:ind w:left="567" w:right="567"/>
        <w:jc w:val="both"/>
        <w:rPr>
          <w:rFonts w:ascii="Book Antiqua" w:eastAsia="Times New Roman" w:hAnsi="Book Antiqua" w:cs="Times New Roman"/>
          <w:i/>
          <w:iCs/>
          <w:lang w:eastAsia="pl-PL"/>
        </w:rPr>
      </w:pPr>
      <w:r w:rsidRPr="00666384">
        <w:rPr>
          <w:rFonts w:ascii="Book Antiqua" w:eastAsia="Times New Roman" w:hAnsi="Book Antiqua" w:cs="Times New Roman"/>
          <w:i/>
          <w:iCs/>
          <w:lang w:eastAsia="pl-PL"/>
        </w:rPr>
        <w:t>„Pożyczkobiorca ustanawia na rzecz pożyczkodawcy zastaw na rzeczy ruchomej w postaci (…) o wartości (…) zł (słownie: (…) złotych), zwanej dalej „przedmiotem zastawu” celem zabezpieczenia pożyczki, będącej przedmiotem niniejszej umowy.”</w:t>
      </w:r>
    </w:p>
    <w:p w:rsidR="004C4020" w:rsidRPr="00ED2F99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 w:rsidRPr="00177159">
        <w:rPr>
          <w:rFonts w:ascii="Book Antiqua" w:eastAsia="Times New Roman" w:hAnsi="Book Antiqua" w:cs="Times New Roman"/>
          <w:b/>
          <w:bCs/>
          <w:lang w:eastAsia="pl-PL"/>
        </w:rPr>
        <w:t>Szczególnym rodzajem zastawu umownego jest zastaw rejestrowy</w:t>
      </w:r>
      <w:r>
        <w:rPr>
          <w:rFonts w:ascii="Book Antiqua" w:eastAsia="Times New Roman" w:hAnsi="Book Antiqua" w:cs="Times New Roman"/>
          <w:lang w:eastAsia="pl-PL"/>
        </w:rPr>
        <w:t xml:space="preserve">. </w:t>
      </w:r>
      <w:r w:rsidRPr="00ED2F99">
        <w:rPr>
          <w:rFonts w:ascii="Book Antiqua" w:eastAsia="Times New Roman" w:hAnsi="Book Antiqua" w:cs="Times New Roman"/>
          <w:lang w:eastAsia="pl-PL"/>
        </w:rPr>
        <w:t>Konstrukcją jest on zbliżony do zwykłego zastawu</w:t>
      </w:r>
      <w:r>
        <w:rPr>
          <w:rFonts w:ascii="Book Antiqua" w:eastAsia="Times New Roman" w:hAnsi="Book Antiqua" w:cs="Times New Roman"/>
          <w:lang w:eastAsia="pl-PL"/>
        </w:rPr>
        <w:t xml:space="preserve"> –</w:t>
      </w:r>
      <w:r w:rsidRPr="00ED2F99">
        <w:rPr>
          <w:rFonts w:ascii="Book Antiqua" w:eastAsia="Times New Roman" w:hAnsi="Book Antiqua" w:cs="Times New Roman"/>
          <w:lang w:eastAsia="pl-PL"/>
        </w:rPr>
        <w:t xml:space="preserve"> niezbędne jest zawarcie umowy między wierzycielem a</w:t>
      </w:r>
      <w:r>
        <w:rPr>
          <w:rFonts w:ascii="Book Antiqua" w:eastAsia="Times New Roman" w:hAnsi="Book Antiqua" w:cs="Times New Roman"/>
          <w:lang w:eastAsia="pl-PL"/>
        </w:rPr>
        <w:t> </w:t>
      </w:r>
      <w:r w:rsidRPr="00ED2F99">
        <w:rPr>
          <w:rFonts w:ascii="Book Antiqua" w:eastAsia="Times New Roman" w:hAnsi="Book Antiqua" w:cs="Times New Roman"/>
          <w:lang w:eastAsia="pl-PL"/>
        </w:rPr>
        <w:t>właścicielem rzeczy. Umowa jest zawierana w formie pisemnej i musi zawierać m.in.:</w:t>
      </w:r>
    </w:p>
    <w:p w:rsidR="004C4020" w:rsidRPr="00ED2F99" w:rsidRDefault="004C4020" w:rsidP="004C4020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1134" w:hanging="567"/>
        <w:jc w:val="both"/>
        <w:rPr>
          <w:rFonts w:ascii="Book Antiqua" w:eastAsia="Times New Roman" w:hAnsi="Book Antiqua" w:cs="Times New Roman"/>
          <w:lang w:eastAsia="pl-PL"/>
        </w:rPr>
      </w:pPr>
      <w:r w:rsidRPr="00ED2F99">
        <w:rPr>
          <w:rFonts w:ascii="Book Antiqua" w:eastAsia="Times New Roman" w:hAnsi="Book Antiqua" w:cs="Times New Roman"/>
          <w:lang w:eastAsia="pl-PL"/>
        </w:rPr>
        <w:t>datę zawarcia</w:t>
      </w:r>
    </w:p>
    <w:p w:rsidR="004C4020" w:rsidRPr="00ED2F99" w:rsidRDefault="004C4020" w:rsidP="004C4020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1134" w:hanging="567"/>
        <w:jc w:val="both"/>
        <w:rPr>
          <w:rFonts w:ascii="Book Antiqua" w:eastAsia="Times New Roman" w:hAnsi="Book Antiqua" w:cs="Times New Roman"/>
          <w:lang w:eastAsia="pl-PL"/>
        </w:rPr>
      </w:pPr>
      <w:r w:rsidRPr="00ED2F99">
        <w:rPr>
          <w:rFonts w:ascii="Book Antiqua" w:eastAsia="Times New Roman" w:hAnsi="Book Antiqua" w:cs="Times New Roman"/>
          <w:lang w:eastAsia="pl-PL"/>
        </w:rPr>
        <w:t>oznaczenie zastawcy i zastawnika</w:t>
      </w:r>
    </w:p>
    <w:p w:rsidR="004C4020" w:rsidRPr="00ED2F99" w:rsidRDefault="004C4020" w:rsidP="004C4020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1134" w:hanging="567"/>
        <w:jc w:val="both"/>
        <w:rPr>
          <w:rFonts w:ascii="Book Antiqua" w:eastAsia="Times New Roman" w:hAnsi="Book Antiqua" w:cs="Times New Roman"/>
          <w:lang w:eastAsia="pl-PL"/>
        </w:rPr>
      </w:pPr>
      <w:r w:rsidRPr="00ED2F99">
        <w:rPr>
          <w:rFonts w:ascii="Book Antiqua" w:eastAsia="Times New Roman" w:hAnsi="Book Antiqua" w:cs="Times New Roman"/>
          <w:lang w:eastAsia="pl-PL"/>
        </w:rPr>
        <w:t>adres zastawnika</w:t>
      </w:r>
    </w:p>
    <w:p w:rsidR="004C4020" w:rsidRPr="00ED2F99" w:rsidRDefault="004C4020" w:rsidP="004C4020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1134" w:hanging="567"/>
        <w:jc w:val="both"/>
        <w:rPr>
          <w:rFonts w:ascii="Book Antiqua" w:eastAsia="Times New Roman" w:hAnsi="Book Antiqua" w:cs="Times New Roman"/>
          <w:lang w:eastAsia="pl-PL"/>
        </w:rPr>
      </w:pPr>
      <w:r w:rsidRPr="00ED2F99">
        <w:rPr>
          <w:rFonts w:ascii="Book Antiqua" w:eastAsia="Times New Roman" w:hAnsi="Book Antiqua" w:cs="Times New Roman"/>
          <w:lang w:eastAsia="pl-PL"/>
        </w:rPr>
        <w:t>dokładne określenie przedmiotu zastawu</w:t>
      </w:r>
    </w:p>
    <w:p w:rsidR="004C4020" w:rsidRPr="00ED2F99" w:rsidRDefault="004C4020" w:rsidP="004C4020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ind w:left="1134" w:hanging="567"/>
        <w:jc w:val="both"/>
        <w:rPr>
          <w:rFonts w:ascii="Book Antiqua" w:eastAsia="Times New Roman" w:hAnsi="Book Antiqua" w:cs="Times New Roman"/>
          <w:lang w:eastAsia="pl-PL"/>
        </w:rPr>
      </w:pPr>
      <w:r w:rsidRPr="00ED2F99">
        <w:rPr>
          <w:rFonts w:ascii="Book Antiqua" w:eastAsia="Times New Roman" w:hAnsi="Book Antiqua" w:cs="Times New Roman"/>
          <w:lang w:eastAsia="pl-PL"/>
        </w:rPr>
        <w:t>określenie zobowiązania wraz z najwyższą sumą zabezpieczenia (maksymalną kwotą, jakiej może domagać się wierzyciel).</w:t>
      </w:r>
    </w:p>
    <w:p w:rsidR="004C4020" w:rsidRDefault="004C4020" w:rsidP="004C402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>
        <w:rPr>
          <w:rFonts w:ascii="Book Antiqua" w:eastAsia="Times New Roman" w:hAnsi="Book Antiqua" w:cs="Times New Roman"/>
          <w:lang w:eastAsia="pl-PL"/>
        </w:rPr>
        <w:lastRenderedPageBreak/>
        <w:t xml:space="preserve">Różnica polega na tym, iż </w:t>
      </w:r>
      <w:r w:rsidRPr="00177159">
        <w:rPr>
          <w:rFonts w:ascii="Book Antiqua" w:eastAsia="Times New Roman" w:hAnsi="Book Antiqua" w:cs="Times New Roman"/>
          <w:b/>
          <w:bCs/>
          <w:lang w:eastAsia="pl-PL"/>
        </w:rPr>
        <w:t>zastaw rejestrowy, aby był skuteczny, wymaga wpisu do rejestru zastawów prowadzonego przez właściwy sąd rejonowy</w:t>
      </w:r>
      <w:r w:rsidRPr="00ED2F99">
        <w:rPr>
          <w:rFonts w:ascii="Book Antiqua" w:eastAsia="Times New Roman" w:hAnsi="Book Antiqua" w:cs="Times New Roman"/>
          <w:lang w:eastAsia="pl-PL"/>
        </w:rPr>
        <w:t xml:space="preserve"> (właściwy dla miejsca zamieszkania albo siedziby zastawcy). Do złożenia wniosku są upoważnione obie strony umowy zastawu rejestrowego. Wniosek składa się na urzędowym formularzu. Do wniosku dołącza się umowę zastawniczą.</w:t>
      </w:r>
    </w:p>
    <w:p w:rsidR="004C4020" w:rsidRPr="00210010" w:rsidRDefault="004C4020" w:rsidP="0021001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lang w:eastAsia="pl-PL"/>
        </w:rPr>
      </w:pPr>
      <w:r w:rsidRPr="00ED2F99">
        <w:rPr>
          <w:rFonts w:ascii="Book Antiqua" w:eastAsia="Times New Roman" w:hAnsi="Book Antiqua" w:cs="Times New Roman"/>
          <w:lang w:eastAsia="pl-PL"/>
        </w:rPr>
        <w:t xml:space="preserve">Różnicę między zastawem rejestrowym a zwykłym stanowi przede wszystkim to, że strony </w:t>
      </w:r>
      <w:r>
        <w:rPr>
          <w:rFonts w:ascii="Book Antiqua" w:eastAsia="Times New Roman" w:hAnsi="Book Antiqua" w:cs="Times New Roman"/>
          <w:lang w:eastAsia="pl-PL"/>
        </w:rPr>
        <w:t>ustanawiające zastaw</w:t>
      </w:r>
      <w:r w:rsidRPr="00ED2F99">
        <w:rPr>
          <w:rFonts w:ascii="Book Antiqua" w:eastAsia="Times New Roman" w:hAnsi="Book Antiqua" w:cs="Times New Roman"/>
          <w:lang w:eastAsia="pl-PL"/>
        </w:rPr>
        <w:t xml:space="preserve"> mogą postanowić, aby zastawiony przedmio</w:t>
      </w:r>
      <w:r>
        <w:rPr>
          <w:rFonts w:ascii="Book Antiqua" w:eastAsia="Times New Roman" w:hAnsi="Book Antiqua" w:cs="Times New Roman"/>
          <w:lang w:eastAsia="pl-PL"/>
        </w:rPr>
        <w:t>t</w:t>
      </w:r>
      <w:r w:rsidRPr="00ED2F99">
        <w:rPr>
          <w:rFonts w:ascii="Book Antiqua" w:eastAsia="Times New Roman" w:hAnsi="Book Antiqua" w:cs="Times New Roman"/>
          <w:lang w:eastAsia="pl-PL"/>
        </w:rPr>
        <w:t xml:space="preserve"> pozostawić osobie, która go zastawiła</w:t>
      </w:r>
      <w:r>
        <w:rPr>
          <w:rFonts w:ascii="Book Antiqua" w:eastAsia="Times New Roman" w:hAnsi="Book Antiqua" w:cs="Times New Roman"/>
          <w:lang w:eastAsia="pl-PL"/>
        </w:rPr>
        <w:t xml:space="preserve"> (nie ma obowiązku wydania rzeczy wierzycielowi)</w:t>
      </w:r>
      <w:r w:rsidRPr="00ED2F99">
        <w:rPr>
          <w:rFonts w:ascii="Book Antiqua" w:eastAsia="Times New Roman" w:hAnsi="Book Antiqua" w:cs="Times New Roman"/>
          <w:lang w:eastAsia="pl-PL"/>
        </w:rPr>
        <w:t>. Ma ona zatem możliwość korzystania z</w:t>
      </w:r>
      <w:r>
        <w:rPr>
          <w:rFonts w:ascii="Book Antiqua" w:eastAsia="Times New Roman" w:hAnsi="Book Antiqua" w:cs="Times New Roman"/>
          <w:lang w:eastAsia="pl-PL"/>
        </w:rPr>
        <w:t>astawionego przedmiotu</w:t>
      </w:r>
      <w:r w:rsidRPr="00ED2F99">
        <w:rPr>
          <w:rFonts w:ascii="Book Antiqua" w:eastAsia="Times New Roman" w:hAnsi="Book Antiqua" w:cs="Times New Roman"/>
          <w:lang w:eastAsia="pl-PL"/>
        </w:rPr>
        <w:t>, mimo tego, że zabezpiecza</w:t>
      </w:r>
      <w:r>
        <w:rPr>
          <w:rFonts w:ascii="Book Antiqua" w:eastAsia="Times New Roman" w:hAnsi="Book Antiqua" w:cs="Times New Roman"/>
          <w:lang w:eastAsia="pl-PL"/>
        </w:rPr>
        <w:t xml:space="preserve"> on</w:t>
      </w:r>
      <w:r w:rsidRPr="00ED2F99">
        <w:rPr>
          <w:rFonts w:ascii="Book Antiqua" w:eastAsia="Times New Roman" w:hAnsi="Book Antiqua" w:cs="Times New Roman"/>
          <w:lang w:eastAsia="pl-PL"/>
        </w:rPr>
        <w:t xml:space="preserve"> roszczenie wierzyciela.</w:t>
      </w:r>
    </w:p>
    <w:p w:rsidR="004C4020" w:rsidRDefault="004C4020" w:rsidP="00BB2E01">
      <w:pPr>
        <w:spacing w:before="100" w:beforeAutospacing="1" w:after="100" w:afterAutospacing="1" w:line="240" w:lineRule="auto"/>
        <w:ind w:right="567"/>
        <w:jc w:val="both"/>
        <w:rPr>
          <w:rFonts w:ascii="Book Antiqua" w:eastAsia="Times New Roman" w:hAnsi="Book Antiqua" w:cs="Times New Roman"/>
          <w:b/>
          <w:iCs/>
          <w:lang w:eastAsia="pl-PL"/>
        </w:rPr>
      </w:pPr>
    </w:p>
    <w:p w:rsidR="00BB2E01" w:rsidRPr="00BB2E01" w:rsidRDefault="00BB2E01" w:rsidP="00BB2E01">
      <w:pPr>
        <w:spacing w:before="100" w:beforeAutospacing="1" w:after="100" w:afterAutospacing="1" w:line="240" w:lineRule="auto"/>
        <w:ind w:right="567"/>
        <w:jc w:val="both"/>
        <w:rPr>
          <w:rFonts w:ascii="Book Antiqua" w:eastAsia="Times New Roman" w:hAnsi="Book Antiqua" w:cs="Times New Roman"/>
          <w:b/>
          <w:iCs/>
          <w:lang w:eastAsia="pl-PL"/>
        </w:rPr>
      </w:pPr>
      <w:r w:rsidRPr="00BB2E01">
        <w:rPr>
          <w:rFonts w:ascii="Book Antiqua" w:eastAsia="Times New Roman" w:hAnsi="Book Antiqua" w:cs="Times New Roman"/>
          <w:b/>
          <w:iCs/>
          <w:lang w:eastAsia="pl-PL"/>
        </w:rPr>
        <w:t xml:space="preserve">Podsumowując </w:t>
      </w:r>
    </w:p>
    <w:p w:rsidR="00A80BCA" w:rsidRDefault="00BB2E01">
      <w:r>
        <w:t>Jeśli więc planujemy np. udzielić pożyczki zaprzyjaźnionej firmie, to warto zastanowić się nad tym, czy czasem nie zabezpieczyć się nieco lepiej niż standardowo, wykorzystując do tego instytucj</w:t>
      </w:r>
      <w:r w:rsidR="00210010">
        <w:t>e</w:t>
      </w:r>
      <w:r>
        <w:t xml:space="preserve"> przewłaszczenia na zabezpieczenie</w:t>
      </w:r>
      <w:r w:rsidR="00210010">
        <w:t xml:space="preserve"> lub zastawi</w:t>
      </w:r>
      <w:r>
        <w:t>. Oczywiście sposobów na redukcję ryzyka</w:t>
      </w:r>
      <w:r w:rsidR="00210010">
        <w:t xml:space="preserve"> biznesowego</w:t>
      </w:r>
      <w:r>
        <w:t xml:space="preserve"> jest o wiele więcej, ale o tym </w:t>
      </w:r>
      <w:r w:rsidR="00210010">
        <w:t>opowiemy już w jednym z naszych kolejnych mailingów</w:t>
      </w:r>
      <w:r>
        <w:t xml:space="preserve">. </w:t>
      </w:r>
    </w:p>
    <w:p w:rsidR="00BB2E01" w:rsidRPr="00BB2E01" w:rsidRDefault="00BB2E01">
      <w:pPr>
        <w:rPr>
          <w:b/>
        </w:rPr>
      </w:pPr>
      <w:r w:rsidRPr="00BB2E01">
        <w:rPr>
          <w:b/>
        </w:rPr>
        <w:t>Z pozdrowieniami</w:t>
      </w:r>
    </w:p>
    <w:p w:rsidR="00BB2E01" w:rsidRPr="00BB2E01" w:rsidRDefault="00BB2E01">
      <w:pPr>
        <w:rPr>
          <w:b/>
        </w:rPr>
      </w:pPr>
      <w:r w:rsidRPr="00BB2E01">
        <w:rPr>
          <w:b/>
        </w:rPr>
        <w:t xml:space="preserve">Ekipa Białych Kołnierzyków </w:t>
      </w:r>
    </w:p>
    <w:sectPr w:rsidR="00BB2E01" w:rsidRPr="00BB2E01" w:rsidSect="00061E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A81A98"/>
    <w:multiLevelType w:val="hybridMultilevel"/>
    <w:tmpl w:val="D05CD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A7"/>
    <w:rsid w:val="00061E62"/>
    <w:rsid w:val="000759AA"/>
    <w:rsid w:val="00210010"/>
    <w:rsid w:val="00392FA7"/>
    <w:rsid w:val="004023F6"/>
    <w:rsid w:val="004C4020"/>
    <w:rsid w:val="00BB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AC9EA355-623A-8648-8073-6B172D87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92FA7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4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906</Words>
  <Characters>6209</Characters>
  <Application>Microsoft Office Word</Application>
  <DocSecurity>0</DocSecurity>
  <Lines>99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Binkowski</dc:creator>
  <cp:keywords/>
  <dc:description/>
  <cp:lastModifiedBy>Maciej Binkowski</cp:lastModifiedBy>
  <cp:revision>7</cp:revision>
  <dcterms:created xsi:type="dcterms:W3CDTF">2021-02-18T11:40:00Z</dcterms:created>
  <dcterms:modified xsi:type="dcterms:W3CDTF">2021-03-19T15:44:00Z</dcterms:modified>
  <cp:category/>
</cp:coreProperties>
</file>