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</w:t>
      </w:r>
      <w:r w:rsidR="002A1F2A">
        <w:t>if</w:t>
      </w:r>
      <w:r>
        <w:t xml:space="preserve"> </w:t>
      </w:r>
      <w:r>
        <w:t>demonstration</w:t>
      </w:r>
      <w:r>
        <w:t> :</w:t>
      </w:r>
    </w:p>
    <w:p w:rsidP="002A1F2A" w:rsidR="002A1F2A" w:rsidRDefault="000321D3">
      <w:pPr>
        <w:tabs>
          <w:tab w:pos="3119" w:val="left"/>
        </w:tabs>
      </w:pPr>
      <w:proofErr w:type="spellStart"/>
      <w:proofErr w:type="spellEnd"/>
      <w:r>
        <w:t xml:space="preserve">The </w:t>
      </w:r>
      <w:r w:rsidR="00A07687">
        <w:t>ELSE</w:t>
      </w:r>
      <w:r w:rsidR="002A1F2A">
        <w:t xml:space="preserve"> </w:t>
      </w:r>
      <w:r w:rsidR="002A1F2A">
        <w:t>paragraph</w:t>
      </w:r>
      <w:r w:rsidR="002A1F2A">
        <w:t>.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