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01887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C5F5-8680-44B1-984E-7D4F5ED9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2018-09-21T14:17:00Z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