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>The THEN paragraph.</w:t>
      </w:r>
    </w:p>
    <w:p w:rsidP="00A07687" w:rsidR="00A07687" w:rsidRDefault="00A07687">
      <w:pPr>
        <w:tabs>
          <w:tab w:pos="3119" w:val="left"/>
        </w:tabs>
      </w:pPr>
      <w:r>
        <w:t>{m:</w:t>
      </w:r>
      <w:r w:rsidR="003D0B8A">
        <w:t xml:space="preserve"> </w:t>
      </w:r>
      <w:bookmarkStart w:id="0" w:name="_GoBack"/>
      <w:bookmarkEnd w:id="0"/>
      <w:r>
        <w:t>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paragraph.</w:t>
      </w:r>
    </w:p>
    <w:p w:rsidP="002A1F2A" w:rsidR="002A1F2A" w:rsidRDefault="002A1F2A">
      <w:pPr>
        <w:tabs>
          <w:tab w:pos="3119" w:val="left"/>
        </w:tabs>
      </w:pPr>
      <w:r w:rsidR="003B0888">
        <w:t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