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42" w:rsidRPr="007F4942" w:rsidRDefault="007F4942" w:rsidP="007F494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Supplement</w:t>
      </w:r>
      <w:r w:rsidR="004901AA">
        <w:rPr>
          <w:rFonts w:ascii="Times New Roman" w:hAnsi="Times New Roman" w:cs="Times New Roman"/>
          <w:b/>
          <w:sz w:val="32"/>
          <w:szCs w:val="32"/>
          <w:lang w:val="en-US"/>
        </w:rPr>
        <w:t>ary File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F4942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</w:p>
    <w:p w:rsidR="007F4942" w:rsidRDefault="007F4942" w:rsidP="007F494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4942">
        <w:rPr>
          <w:rFonts w:ascii="Times New Roman" w:hAnsi="Times New Roman" w:cs="Times New Roman"/>
          <w:b/>
          <w:sz w:val="24"/>
          <w:szCs w:val="24"/>
          <w:lang w:val="en-US"/>
        </w:rPr>
        <w:t>LC-MS/MS analysis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protein samples</w:t>
      </w:r>
    </w:p>
    <w:p w:rsidR="007F4942" w:rsidRPr="007F4942" w:rsidRDefault="007F4942" w:rsidP="007F494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16F2" w:rsidRPr="00D716F2" w:rsidRDefault="007362E3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1D protein</w:t>
      </w:r>
      <w:r w:rsidR="00D716F2" w:rsidRPr="00D716F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separation </w:t>
      </w:r>
    </w:p>
    <w:p w:rsidR="0049009C" w:rsidRPr="0049009C" w:rsidRDefault="0049009C" w:rsidP="004900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Electrophoretic separation (SDS-PAGE-based method) of samples was carried out using the </w:t>
      </w:r>
      <w:proofErr w:type="spellStart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Hoefer</w:t>
      </w:r>
      <w:proofErr w:type="spellEnd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miniVE</w:t>
      </w:r>
      <w:proofErr w:type="spellEnd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system (gel size 80 × 90 × 1 mm). Proteins were separated under reducing conditions in 20% polyacrylamide gels with </w:t>
      </w:r>
      <w:proofErr w:type="spellStart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Tris</w:t>
      </w:r>
      <w:proofErr w:type="spellEnd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</w:t>
      </w:r>
      <w:r w:rsidR="00771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glycine</w:t>
      </w:r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buffer. Each of </w:t>
      </w:r>
      <w:r w:rsidR="00771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11 </w:t>
      </w:r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proteins (~2 µg in buffer contained 2% LDS, 0.065M </w:t>
      </w:r>
      <w:proofErr w:type="spellStart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Tris</w:t>
      </w:r>
      <w:proofErr w:type="spellEnd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pH 6.8, 1% DTT, 10% glycerin, 0.01% </w:t>
      </w:r>
      <w:proofErr w:type="spellStart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bromphenol</w:t>
      </w:r>
      <w:proofErr w:type="spellEnd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blue) and Precision Plus Protein Standards (</w:t>
      </w:r>
      <w:proofErr w:type="spellStart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BioRad</w:t>
      </w:r>
      <w:proofErr w:type="spellEnd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was introduced into </w:t>
      </w:r>
      <w:r w:rsidR="00771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</w:t>
      </w:r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mm well. Electrophoresis was performed in the following</w:t>
      </w:r>
      <w:r w:rsidR="00771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conditions: 180 V, 100 mA, 7W (3.5W per gel) </w:t>
      </w:r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for 2.5 h. Gels were visualized with </w:t>
      </w:r>
      <w:proofErr w:type="spellStart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Coomassie</w:t>
      </w:r>
      <w:proofErr w:type="spellEnd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R-350.</w:t>
      </w:r>
    </w:p>
    <w:p w:rsidR="00D716F2" w:rsidRPr="007D3B6D" w:rsidRDefault="0049009C" w:rsidP="004900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After protein separation, all bands were detected and quantified by </w:t>
      </w:r>
      <w:proofErr w:type="spellStart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ImageMaster</w:t>
      </w:r>
      <w:proofErr w:type="spellEnd"/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2D Platinum 7 </w:t>
      </w:r>
      <w:r w:rsidR="00771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v.7.02 </w:t>
      </w:r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software. The relative protein abundance (%Vol) of each band was calculated according to the normalized staining intensity of the band. The each band was cut into a slice of about 1</w:t>
      </w:r>
      <w:r w:rsidR="00771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5 mm thickness. </w:t>
      </w:r>
    </w:p>
    <w:p w:rsidR="007D3B6D" w:rsidRDefault="007D3B6D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</w:pPr>
    </w:p>
    <w:p w:rsidR="00655DE6" w:rsidRPr="002E3881" w:rsidRDefault="002E3881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</w:pPr>
      <w:r w:rsidRPr="002E388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LC-MS/MS analysis</w:t>
      </w:r>
    </w:p>
    <w:p w:rsidR="00A238BD" w:rsidRDefault="00A238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To the subsequent mass-spectrometric analysis proteins in each gel slice were </w:t>
      </w:r>
      <w:proofErr w:type="spellStart"/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destained</w:t>
      </w:r>
      <w:proofErr w:type="spellEnd"/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digested with a trypsin (Sequencing Grade Modified, </w:t>
      </w:r>
      <w:proofErr w:type="spellStart"/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Promega</w:t>
      </w:r>
      <w:proofErr w:type="spellEnd"/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Madison, WI, USA) using the protocol described previou</w:t>
      </w:r>
      <w:r w:rsidR="00A748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sly [1]. In addition, </w:t>
      </w:r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</w:t>
      </w:r>
      <w:r w:rsidR="00A748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</w:t>
      </w:r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solution </w:t>
      </w:r>
      <w:r w:rsidR="00A748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protein digestion</w:t>
      </w:r>
      <w:r w:rsidR="00A7481B"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was performed for EsZNF1 protein with a trypsin (Sequencing Grade Modified, </w:t>
      </w:r>
      <w:proofErr w:type="spellStart"/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Promega</w:t>
      </w:r>
      <w:proofErr w:type="spellEnd"/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gramStart"/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Madison</w:t>
      </w:r>
      <w:proofErr w:type="gramEnd"/>
      <w:r w:rsidRPr="00A23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WI, USA as described in [2].</w:t>
      </w:r>
    </w:p>
    <w:p w:rsidR="00492300" w:rsidRPr="00655DE6" w:rsidRDefault="00655D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peptides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were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separated 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with high-performance liquid chromatography (HPLC, Ultimate 3000 Nano LC System, </w:t>
      </w:r>
      <w:proofErr w:type="spellStart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Thermo</w:t>
      </w:r>
      <w:proofErr w:type="spellEnd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Scientific, </w:t>
      </w:r>
      <w:proofErr w:type="gramStart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Rockwell</w:t>
      </w:r>
      <w:proofErr w:type="gramEnd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IL, USA) in a 15-cm long C18 column with an inner diameter of 75 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μ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 (Acclaim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®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proofErr w:type="spellStart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PepMap</w:t>
      </w:r>
      <w:proofErr w:type="spellEnd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™ RSLC, </w:t>
      </w:r>
      <w:proofErr w:type="spellStart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Thermo</w:t>
      </w:r>
      <w:proofErr w:type="spellEnd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Fisher Scientific, Rockwell, IL, USA). The peptides were eluted with a gradient from 5–35% buffer B (80% acetonitrile, 0.1% formic acid) over 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45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min at a flow rate of 0.3 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μ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min. Total run time including 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min to reach 99% buffer B, flushing 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min with 99% buffer B and 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min re-equilibration to buffer A (0.1% formic acid) amounted 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60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min. 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MS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analysis was performed </w:t>
      </w:r>
      <w:r w:rsidR="00F51C65" w:rsidRPr="007E0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at least in triplicate</w:t>
      </w:r>
      <w:r w:rsid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with a Q </w:t>
      </w:r>
      <w:proofErr w:type="spellStart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Exactive</w:t>
      </w:r>
      <w:proofErr w:type="spellEnd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HF mass spectrometer (Q </w:t>
      </w:r>
      <w:proofErr w:type="spellStart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ExactiveTM</w:t>
      </w:r>
      <w:proofErr w:type="spellEnd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HF Hybrid Quadrupole-</w:t>
      </w:r>
      <w:proofErr w:type="spellStart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OrbitrapTM</w:t>
      </w:r>
      <w:proofErr w:type="spellEnd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Mass spectrometer, </w:t>
      </w:r>
      <w:proofErr w:type="spellStart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Thermo</w:t>
      </w:r>
      <w:proofErr w:type="spellEnd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Fisher Scientific, Rockwell, IL, USA). Mass spectra were acquired at a resolution of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120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,000 (MS) and 15,000 (MS/MS) in </w:t>
      </w:r>
      <w:proofErr w:type="gramStart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proofErr w:type="gramEnd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492300" w:rsidRPr="00655DE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m/z</w:t>
      </w:r>
      <w:r w:rsidRPr="00655DE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range of 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00−1500 (MS) and 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00–2000 (MS/MS). </w:t>
      </w:r>
      <w:proofErr w:type="gramStart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 isolation threshold of 100,000 counts was determined for precursor’s selection and up to top 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precursors were</w:t>
      </w:r>
      <w:proofErr w:type="gramEnd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chosen for fragmentation with high-energy collisional dissociation (HCD) at </w:t>
      </w: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0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NCE and 100 </w:t>
      </w:r>
      <w:proofErr w:type="spellStart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ms</w:t>
      </w:r>
      <w:proofErr w:type="spellEnd"/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accumulation time. Precursors with a charged state of +1 were rejected and all measured precursors were excluded from measurement for 20 s.</w:t>
      </w:r>
    </w:p>
    <w:p w:rsidR="00492300" w:rsidRDefault="00492300">
      <w:pPr>
        <w:rPr>
          <w:b/>
          <w:i/>
          <w:color w:val="000000"/>
          <w:shd w:val="clear" w:color="auto" w:fill="FFFFFF"/>
          <w:lang w:val="en-US"/>
        </w:rPr>
      </w:pPr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For the analysis of the mass spectrometry data, a database was built using the </w:t>
      </w:r>
      <w:r w:rsidRPr="00F51C6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E.</w:t>
      </w:r>
      <w:r w:rsidR="007F494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F51C6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oli (k12) </w:t>
      </w:r>
      <w:r w:rsidR="002E3881" w:rsidRPr="00F51C65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en-US"/>
        </w:rPr>
        <w:t>proteome database</w:t>
      </w:r>
      <w:r w:rsidR="002E3881" w:rsidRPr="00F51C6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E95A5C"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and</w:t>
      </w:r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11 </w:t>
      </w:r>
      <w:r w:rsidR="00655DE6"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desired</w:t>
      </w:r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sequences </w:t>
      </w:r>
      <w:r w:rsidR="0091202F"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each </w:t>
      </w:r>
      <w:r w:rsidR="002E3881"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individually </w:t>
      </w:r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appended to it. Database search was performed using </w:t>
      </w:r>
      <w:proofErr w:type="spellStart"/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proofErr w:type="gramStart"/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!Tandem</w:t>
      </w:r>
      <w:proofErr w:type="spellEnd"/>
      <w:proofErr w:type="gramEnd"/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search engine using </w:t>
      </w:r>
      <w:proofErr w:type="spellStart"/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SearchGUI</w:t>
      </w:r>
      <w:proofErr w:type="spellEnd"/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87005"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v.3.3.2 </w:t>
      </w:r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hyperlink r:id="rId5" w:anchor="B36" w:history="1">
        <w:r w:rsidR="00655DE6" w:rsidRPr="00F51C65">
          <w:rPr>
            <w:rStyle w:val="a4"/>
            <w:rFonts w:ascii="Times New Roman" w:hAnsi="Times New Roman" w:cs="Times New Roman"/>
            <w:color w:val="642A8F"/>
            <w:sz w:val="24"/>
            <w:szCs w:val="24"/>
            <w:shd w:val="clear" w:color="auto" w:fill="FFFFFF"/>
            <w:lang w:val="en-US"/>
          </w:rPr>
          <w:t>2</w:t>
        </w:r>
      </w:hyperlink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). Parameters were set as follows: tryptic specificity allowing </w:t>
      </w:r>
      <w:r w:rsidR="00F51C65"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two</w:t>
      </w:r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missed cleavage, MS tolerance of </w:t>
      </w:r>
      <w:r w:rsidR="004D3D30"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</w:t>
      </w:r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ppm and 0.0</w:t>
      </w:r>
      <w:r w:rsidR="004D3D30"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</w:t>
      </w:r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Da </w:t>
      </w:r>
      <w:proofErr w:type="gramStart"/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tolerance</w:t>
      </w:r>
      <w:proofErr w:type="gramEnd"/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for MS/MS ions. </w:t>
      </w:r>
      <w:proofErr w:type="spellStart"/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Carbamidomethylation</w:t>
      </w:r>
      <w:proofErr w:type="spellEnd"/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C was used as fixed modification and oxidation of M as variable modification. </w:t>
      </w:r>
      <w:proofErr w:type="spellStart"/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PeptideShaker</w:t>
      </w:r>
      <w:proofErr w:type="spellEnd"/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v.1.16.23 was used to import the results for peptide and protein identifications. Peptide-Spectrum Matches (PSMs), peptides and proteins </w:t>
      </w:r>
      <w:r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were validated at a 1.0% False Discovery Rate estimated using the decoy hit distribution. Only proteins having at least two unique peptides were consi</w:t>
      </w:r>
      <w:r w:rsidR="00312121" w:rsidRPr="00F51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dered as positively identified.</w:t>
      </w:r>
    </w:p>
    <w:p w:rsidR="00F24CA0" w:rsidRPr="00F24CA0" w:rsidRDefault="00655DE6" w:rsidP="00F24CA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F4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1.</w:t>
      </w:r>
      <w:r w:rsidRPr="00655DE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Filatov</w:t>
      </w:r>
      <w:proofErr w:type="spellEnd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A. V., </w:t>
      </w:r>
      <w:proofErr w:type="spellStart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Krotov</w:t>
      </w:r>
      <w:proofErr w:type="spellEnd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G. I., </w:t>
      </w:r>
      <w:proofErr w:type="spellStart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Zgoda</w:t>
      </w:r>
      <w:proofErr w:type="spellEnd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V. G., </w:t>
      </w:r>
      <w:proofErr w:type="spellStart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Volkov</w:t>
      </w:r>
      <w:proofErr w:type="spellEnd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Y., Fluorescent immunoprecipitation analysis of cell surface proteins: a methodology compatible with mass-spectrometry. J. </w:t>
      </w:r>
      <w:proofErr w:type="spellStart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Immunol</w:t>
      </w:r>
      <w:proofErr w:type="spellEnd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Methods 2007, 319, 21–33</w:t>
      </w:r>
      <w:r w:rsid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PMID: </w:t>
      </w:r>
      <w:proofErr w:type="gramStart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17098248  DOI</w:t>
      </w:r>
      <w:proofErr w:type="gramEnd"/>
      <w:r w:rsidR="00F24CA0" w:rsidRPr="00F24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hyperlink r:id="rId6" w:tgtFrame="_blank" w:history="1">
        <w:r w:rsidR="00F24CA0" w:rsidRPr="00F24CA0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en-US"/>
          </w:rPr>
          <w:t>10.1016/j.jim.2006.09.014</w:t>
        </w:r>
      </w:hyperlink>
    </w:p>
    <w:p w:rsidR="00A238BD" w:rsidRDefault="00655D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</w:t>
      </w:r>
      <w:r w:rsidR="00492300" w:rsidRPr="0065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 </w:t>
      </w:r>
      <w:r w:rsidR="00A238BD" w:rsidRPr="00655DE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 xml:space="preserve">Anselm V, </w:t>
      </w:r>
      <w:proofErr w:type="spellStart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>Novikova</w:t>
      </w:r>
      <w:proofErr w:type="spellEnd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>Zgoda</w:t>
      </w:r>
      <w:proofErr w:type="spellEnd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 xml:space="preserve"> V. Re-adaption on Earth after Spaceflights Affects the Mouse Liver Proteome. </w:t>
      </w:r>
      <w:proofErr w:type="spellStart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 xml:space="preserve"> J </w:t>
      </w:r>
      <w:proofErr w:type="spellStart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 xml:space="preserve"> Sci. 2017 Aug 12</w:t>
      </w:r>
      <w:proofErr w:type="gramStart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>;18</w:t>
      </w:r>
      <w:proofErr w:type="gramEnd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 xml:space="preserve">(8). </w:t>
      </w:r>
      <w:proofErr w:type="spellStart"/>
      <w:proofErr w:type="gramStart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>pii</w:t>
      </w:r>
      <w:proofErr w:type="spellEnd"/>
      <w:proofErr w:type="gramEnd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 xml:space="preserve">: E1763. </w:t>
      </w:r>
      <w:proofErr w:type="spellStart"/>
      <w:proofErr w:type="gramStart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A238BD" w:rsidRPr="00655DE6">
        <w:rPr>
          <w:rFonts w:ascii="Times New Roman" w:hAnsi="Times New Roman" w:cs="Times New Roman"/>
          <w:sz w:val="24"/>
          <w:szCs w:val="24"/>
          <w:lang w:val="en-US"/>
        </w:rPr>
        <w:t>: 10.3390/ijms18081763. PubMed PMID: 28805685; PubMed Central PMCID: PMC5578152.</w:t>
      </w:r>
    </w:p>
    <w:p w:rsidR="002E3788" w:rsidRDefault="00A238BD">
      <w:pPr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3. </w:t>
      </w:r>
      <w:proofErr w:type="spellStart"/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Vaudel</w:t>
      </w:r>
      <w:proofErr w:type="spellEnd"/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M, </w:t>
      </w:r>
      <w:proofErr w:type="spellStart"/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Barsnes</w:t>
      </w:r>
      <w:proofErr w:type="spellEnd"/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H, </w:t>
      </w:r>
      <w:proofErr w:type="spellStart"/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Berven</w:t>
      </w:r>
      <w:proofErr w:type="spellEnd"/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FS, </w:t>
      </w:r>
      <w:proofErr w:type="spellStart"/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Sickmann</w:t>
      </w:r>
      <w:proofErr w:type="spellEnd"/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A, Martens L. </w:t>
      </w:r>
      <w:proofErr w:type="spellStart"/>
      <w:r w:rsidR="00492300" w:rsidRPr="00655DE6">
        <w:rPr>
          <w:rStyle w:val="ref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SearchGUI</w:t>
      </w:r>
      <w:proofErr w:type="spellEnd"/>
      <w:r w:rsidR="00492300" w:rsidRPr="00655DE6">
        <w:rPr>
          <w:rStyle w:val="ref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: an open-source graphical user interface for simultaneous OMSSA and </w:t>
      </w:r>
      <w:proofErr w:type="spellStart"/>
      <w:r w:rsidR="00492300" w:rsidRPr="00655DE6">
        <w:rPr>
          <w:rStyle w:val="ref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proofErr w:type="gramStart"/>
      <w:r w:rsidR="00492300" w:rsidRPr="00655DE6">
        <w:rPr>
          <w:rStyle w:val="ref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!Tandem</w:t>
      </w:r>
      <w:proofErr w:type="spellEnd"/>
      <w:proofErr w:type="gramEnd"/>
      <w:r w:rsidR="00492300" w:rsidRPr="00655DE6">
        <w:rPr>
          <w:rStyle w:val="ref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searches</w:t>
      </w:r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 </w:t>
      </w:r>
      <w:r w:rsidR="00492300" w:rsidRPr="00655DE6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Proteomics</w:t>
      </w:r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(2011) </w:t>
      </w:r>
      <w:r w:rsidR="00492300" w:rsidRPr="00655DE6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11</w:t>
      </w:r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 w:rsidR="00492300" w:rsidRPr="00655DE6">
        <w:rPr>
          <w:rStyle w:val="ref-is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</w:t>
      </w:r>
      <w:r w:rsidR="00492300" w:rsidRPr="00655DE6"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):996–9.10.1002/pmic.201000595</w:t>
      </w:r>
    </w:p>
    <w:p w:rsidR="002E3788" w:rsidRDefault="002E3788">
      <w:pPr>
        <w:spacing w:after="0" w:line="360" w:lineRule="auto"/>
        <w:rPr>
          <w:rStyle w:val="mixed-citatio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E3788" w:rsidRPr="007F4942" w:rsidRDefault="007F4942" w:rsidP="00467677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</w:pPr>
      <w:r w:rsidRPr="007F494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Result</w:t>
      </w:r>
    </w:p>
    <w:p w:rsidR="00F51C65" w:rsidRDefault="001D1F4A" w:rsidP="00C71E5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Purity of expressed </w:t>
      </w:r>
      <w:r w:rsidR="003C4A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plant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proteins was estimated with SDS-PAGE followed by LC-MS/MS analysis.</w:t>
      </w:r>
    </w:p>
    <w:p w:rsidR="00F12717" w:rsidRDefault="00F12717" w:rsidP="00F127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Figure 1 shows a one-dimensional (1D) electrophoresis gel images with detected protein bands. Each band was quantified with %Vol value that represents the relative protein abundance. Only one band was visualized for EsZnF1, </w:t>
      </w:r>
      <w:proofErr w:type="gramStart"/>
      <w:r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Es1F(</w:t>
      </w:r>
      <w:proofErr w:type="gramEnd"/>
      <w:r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4Z), and Es1F(2Z) proteins. Several protein bands were present for other expressed plant proteins with the most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abundant band for target mass.</w:t>
      </w:r>
    </w:p>
    <w:p w:rsidR="00F12717" w:rsidRPr="00F12717" w:rsidRDefault="00F12717" w:rsidP="00F127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Protein identification results are listed in the table 1. The proteins detected by at least two peptides were taken into account. Purity of expressed plant proteins from single band (</w:t>
      </w:r>
      <w:proofErr w:type="gramStart"/>
      <w:r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Es1F(</w:t>
      </w:r>
      <w:proofErr w:type="gramEnd"/>
      <w:r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4Z), Es1F(2Z)) and from the most abundant bands was confirmed by LC-MS/MS of in-gel digested protein. </w:t>
      </w:r>
      <w:r w:rsidRPr="007F494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E.coli</w:t>
      </w:r>
      <w:r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contaminant proteins (</w:t>
      </w:r>
      <w:proofErr w:type="spellStart"/>
      <w:r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thioredoxin</w:t>
      </w:r>
      <w:proofErr w:type="spellEnd"/>
      <w:r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1, citrate synthase, 50S ribosomal protein) were identified only in minor protein bands.</w:t>
      </w:r>
    </w:p>
    <w:p w:rsidR="00C71E5D" w:rsidRDefault="00F12717" w:rsidP="00F127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Since no significant identification was obtained for EsZnF1 this protein sample was additionally subjected by in-solution </w:t>
      </w:r>
      <w:r w:rsidR="00AF4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protein </w:t>
      </w:r>
      <w:r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digestion followed by mass-spectrometry analysis.</w:t>
      </w:r>
      <w:r w:rsidR="00AF4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Only </w:t>
      </w:r>
      <w:r w:rsidR="00AF4CAC" w:rsidRPr="00F1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EsZnF1</w:t>
      </w:r>
      <w:r w:rsidR="00AF4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plant protein was significant identified in this case.</w:t>
      </w:r>
    </w:p>
    <w:p w:rsidR="00C71E5D" w:rsidRPr="00C71E5D" w:rsidRDefault="00C71E5D" w:rsidP="00C71E5D">
      <w:pPr>
        <w:pStyle w:val="aa"/>
        <w:spacing w:before="0" w:beforeAutospacing="0" w:after="0" w:afterAutospacing="0"/>
        <w:jc w:val="both"/>
        <w:rPr>
          <w:lang w:val="en-US"/>
        </w:rPr>
      </w:pPr>
    </w:p>
    <w:p w:rsidR="00C71E5D" w:rsidRDefault="00C71E5D" w:rsidP="00C71E5D">
      <w:pPr>
        <w:ind w:left="-993" w:right="-284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0744CB20" wp14:editId="753130B0">
            <wp:extent cx="3009900" cy="31642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94" cy="3177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25B443" wp14:editId="708176EE">
            <wp:extent cx="3011594" cy="3152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232" cy="3163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E5D" w:rsidRPr="00195F55" w:rsidRDefault="00C71E5D" w:rsidP="00195F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E0E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Figure 1</w:t>
      </w:r>
      <w:r w:rsidRP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1D electrophoresis gel images </w:t>
      </w:r>
      <w:r w:rsidR="00195F55" w:rsidRP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of 11 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plant </w:t>
      </w:r>
      <w:r w:rsidR="00195F55" w:rsidRP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protein samples. R - </w:t>
      </w:r>
      <w:r w:rsidR="00195F55" w:rsidRPr="0049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Precision Plus Protein Standards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1- </w:t>
      </w:r>
      <w:r w:rsidR="00195F55" w:rsidRPr="00704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ECSDP1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2- </w:t>
      </w:r>
      <w:r w:rsidR="00195F55" w:rsidRPr="00EF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ECSDP2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3 - </w:t>
      </w:r>
      <w:r w:rsidR="00195F55" w:rsidRPr="00EF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EsCSDP3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4 - </w:t>
      </w:r>
      <w:r w:rsidR="00195F55" w:rsidRPr="00EF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EsCSD1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5 –</w:t>
      </w:r>
      <w:r w:rsidR="00195F55" w:rsidRP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95F55" w:rsidRPr="00EF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EsCSD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2, 6 – </w:t>
      </w:r>
      <w:r w:rsidR="00195F55" w:rsidRPr="00EF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EsCSD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3, 7 - </w:t>
      </w:r>
      <w:r w:rsidR="00195F55" w:rsidRPr="00EE6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EsZnF1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8 - </w:t>
      </w:r>
      <w:r w:rsidR="00195F55" w:rsidRPr="00EE6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Es1F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 w:rsidR="00195F55" w:rsidRPr="00EE6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4Z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9 - </w:t>
      </w:r>
      <w:r w:rsidR="00195F55" w:rsidRPr="00EE6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Es1F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(2</w:t>
      </w:r>
      <w:r w:rsidR="00195F55" w:rsidRPr="00EE6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10 - </w:t>
      </w:r>
      <w:proofErr w:type="spellStart"/>
      <w:r w:rsidR="00195F55" w:rsidRPr="00EE6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CspA</w:t>
      </w:r>
      <w:proofErr w:type="spellEnd"/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11 - EsCSDP</w:t>
      </w:r>
      <w:r w:rsidR="00195F55" w:rsidRPr="00E95A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3mut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C71E5D" w:rsidRDefault="00C71E5D" w:rsidP="00C71E5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51C65" w:rsidRPr="00995431" w:rsidRDefault="00AF4CAC" w:rsidP="002E3788">
      <w:pPr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F4C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Table 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9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Protein identification by LC-MS/MS of in-gel digested proteins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950"/>
        <w:gridCol w:w="1103"/>
        <w:gridCol w:w="1071"/>
        <w:gridCol w:w="1922"/>
        <w:gridCol w:w="1843"/>
        <w:gridCol w:w="1276"/>
      </w:tblGrid>
      <w:tr w:rsidR="00EA6E75" w:rsidRPr="00EA6E75" w:rsidTr="00753513">
        <w:trPr>
          <w:trHeight w:val="630"/>
        </w:trPr>
        <w:tc>
          <w:tcPr>
            <w:tcW w:w="1191" w:type="dxa"/>
            <w:shd w:val="clear" w:color="auto" w:fill="auto"/>
            <w:vAlign w:val="center"/>
            <w:hideMark/>
          </w:tcPr>
          <w:p w:rsidR="00EA6E75" w:rsidRPr="00EA6E75" w:rsidRDefault="00995431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EA6E75"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Sample</w:t>
            </w:r>
            <w:proofErr w:type="spellEnd"/>
            <w:r w:rsidR="0075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5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protien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EA6E75" w:rsidRPr="00EA6E75" w:rsidRDefault="00EA6E75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Band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A6E75" w:rsidRPr="00EA6E75" w:rsidRDefault="00EA6E75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Band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Mw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kDa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EA6E75" w:rsidRPr="00EA6E75" w:rsidRDefault="00EA6E75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Quantity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</w:t>
            </w: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Default="00EA6E75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Protein name</w:t>
            </w:r>
          </w:p>
          <w:p w:rsidR="00EA6E75" w:rsidRPr="00EA6E75" w:rsidRDefault="00EA6E75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(Swiss-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AC and ID)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A6E75" w:rsidRPr="00EA6E75" w:rsidRDefault="00EA6E75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MW </w:t>
            </w: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calculated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kDa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6E75" w:rsidRPr="00EA6E75" w:rsidRDefault="00EA6E75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Sequence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coverage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EsCSDP1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1_1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EsCSDP1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1_2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EsCSDP1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1_3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EsCSDP1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1_4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EsCSDP1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EsCSDP2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2_1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EsCSDP2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2_2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EsCSDP2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EsCSDP3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3_1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EsCSDP3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Thioredoxin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 (P0AA25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THIO_ECOLI)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3_2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EsCSDP3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3_3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EsCSDP3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ESCSD1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4_1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Citrate synthase (P0ABH7, CISY_ECOLI)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753513" w:rsidRPr="00EA6E75" w:rsidTr="00753513">
        <w:trPr>
          <w:trHeight w:val="46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4_2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4_3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ESCSD1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53513" w:rsidRPr="00EA6E75" w:rsidTr="00E44338">
        <w:trPr>
          <w:trHeight w:val="345"/>
        </w:trPr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ESCSD2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5_1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753513" w:rsidRPr="00EA6E75" w:rsidTr="00753513">
        <w:trPr>
          <w:trHeight w:val="360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5_2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Citrate synthase (P0ABH7, CISY_ECOLI)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Thioredoxin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(P0AA25, THIO_ECOLI)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5_3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5_4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ESCSD2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3513" w:rsidRPr="00EA6E75" w:rsidTr="00E44338">
        <w:trPr>
          <w:trHeight w:val="345"/>
        </w:trPr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ESCSD3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6_1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6_2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Citrate synthase (P0ABH7, CISY_ECOLI)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6_3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6_4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ESCSD3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E0E36" w:rsidRPr="007E0E36" w:rsidTr="00753513">
        <w:trPr>
          <w:trHeight w:val="345"/>
        </w:trPr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E0E36" w:rsidRPr="00EA6E75" w:rsidRDefault="007E0E36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EsZnF1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E0E36" w:rsidRPr="00EA6E75" w:rsidRDefault="007E0E36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7_1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E0E36" w:rsidRPr="00EA6E75" w:rsidRDefault="007E0E36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E0E36" w:rsidRPr="00EA6E75" w:rsidRDefault="007E0E36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7E0E36" w:rsidRPr="007F4942" w:rsidRDefault="007E0E36" w:rsidP="007E0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ru-RU"/>
              </w:rPr>
            </w:pPr>
            <w:r w:rsidRPr="007F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ND</w:t>
            </w:r>
            <w:r w:rsidRPr="007F4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7F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(in-gel </w:t>
            </w:r>
            <w:proofErr w:type="spellStart"/>
            <w:r w:rsidRPr="007F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protein</w:t>
            </w:r>
            <w:proofErr w:type="spellEnd"/>
            <w:r w:rsidRPr="007F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7F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digestion</w:t>
            </w:r>
            <w:proofErr w:type="spellEnd"/>
            <w:r w:rsidRPr="007F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E0E36" w:rsidRPr="00EA6E75" w:rsidRDefault="007E0E36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E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0E36" w:rsidRPr="00EA6E75" w:rsidRDefault="007E0E36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E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7E0E36" w:rsidRPr="007E0E36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</w:tcPr>
          <w:p w:rsidR="007E0E36" w:rsidRPr="00EA6E75" w:rsidRDefault="007E0E36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7E0E36" w:rsidRPr="007E0E36" w:rsidRDefault="007E0E36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7E0E36" w:rsidRPr="007E0E36" w:rsidRDefault="007E0E36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E0E36" w:rsidRPr="007E0E36" w:rsidRDefault="007E0E36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22" w:type="dxa"/>
            <w:shd w:val="clear" w:color="auto" w:fill="auto"/>
            <w:noWrap/>
            <w:vAlign w:val="bottom"/>
          </w:tcPr>
          <w:p w:rsidR="007E0E36" w:rsidRPr="007F4942" w:rsidRDefault="007E0E36" w:rsidP="007E0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ru-RU"/>
              </w:rPr>
            </w:pPr>
            <w:r w:rsidRPr="007F4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ru-RU"/>
              </w:rPr>
              <w:t xml:space="preserve">EsZnF1 </w:t>
            </w:r>
            <w:r w:rsidRPr="007F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(in-solution </w:t>
            </w:r>
            <w:proofErr w:type="spellStart"/>
            <w:r w:rsidRPr="007F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protein</w:t>
            </w:r>
            <w:proofErr w:type="spellEnd"/>
            <w:r w:rsidRPr="007F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7F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digestion</w:t>
            </w:r>
            <w:proofErr w:type="spellEnd"/>
            <w:r w:rsidRPr="007F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E0E36" w:rsidRPr="00AF4CAC" w:rsidRDefault="00AF4CAC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19.63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0E36" w:rsidRPr="00AF4CAC" w:rsidRDefault="00AF4CAC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30.61</w:t>
            </w:r>
          </w:p>
        </w:tc>
      </w:tr>
      <w:tr w:rsidR="00753513" w:rsidRPr="00EA6E75" w:rsidTr="00E44338">
        <w:trPr>
          <w:trHeight w:val="345"/>
        </w:trPr>
        <w:tc>
          <w:tcPr>
            <w:tcW w:w="119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Es1F(4Z)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8_1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Es1F(4Z)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Es1F(2Z)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9_1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Es1F(2Z)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CspA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10_1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10_2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10_3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50S ribosomal protein L1 (P0A7L0, RL1_ECOLI)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753513" w:rsidRPr="00F12717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10_4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E0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ND</w:t>
            </w:r>
            <w:r w:rsidR="00F1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10_5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CspA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EsCSDP-3mut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11_1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EsCSDP-3mut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Thioredoxin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(P0AA25, THIO_ECOLI)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AF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11_2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EsCSDP-3mut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753513" w:rsidRPr="00EA6E75" w:rsidTr="00753513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Thioredoxin</w:t>
            </w:r>
            <w:proofErr w:type="spellEnd"/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(P0AA25, THIO_ECOLI)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AF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753513" w:rsidRPr="00EA6E75" w:rsidTr="00E44338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11_3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7046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EsCSDP-3mut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  <w:r w:rsidR="00AF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3513" w:rsidRPr="00EA6E75" w:rsidTr="00E44338">
        <w:trPr>
          <w:trHeight w:val="345"/>
        </w:trPr>
        <w:tc>
          <w:tcPr>
            <w:tcW w:w="1191" w:type="dxa"/>
            <w:vMerge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11_4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22" w:type="dxa"/>
            <w:shd w:val="clear" w:color="auto" w:fill="auto"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EsCSDP-3mut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3513" w:rsidRPr="00EA6E75" w:rsidRDefault="00753513" w:rsidP="0075351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AF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</w:tbl>
    <w:p w:rsidR="00EA6E75" w:rsidRDefault="00EA6E75" w:rsidP="002E3788">
      <w:pPr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sectPr w:rsidR="00EA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00"/>
    <w:rsid w:val="0013249F"/>
    <w:rsid w:val="00195F55"/>
    <w:rsid w:val="001D1F4A"/>
    <w:rsid w:val="002E3788"/>
    <w:rsid w:val="002E3881"/>
    <w:rsid w:val="00312121"/>
    <w:rsid w:val="00393ABF"/>
    <w:rsid w:val="003C4A55"/>
    <w:rsid w:val="00467677"/>
    <w:rsid w:val="0049009C"/>
    <w:rsid w:val="004901AA"/>
    <w:rsid w:val="00492300"/>
    <w:rsid w:val="004D3D30"/>
    <w:rsid w:val="00655DE6"/>
    <w:rsid w:val="0067263F"/>
    <w:rsid w:val="006D5F98"/>
    <w:rsid w:val="00704704"/>
    <w:rsid w:val="007362E3"/>
    <w:rsid w:val="00753513"/>
    <w:rsid w:val="00771061"/>
    <w:rsid w:val="007D3B6D"/>
    <w:rsid w:val="007E0E36"/>
    <w:rsid w:val="007F4942"/>
    <w:rsid w:val="0084042A"/>
    <w:rsid w:val="00876B2C"/>
    <w:rsid w:val="0091202F"/>
    <w:rsid w:val="009708E3"/>
    <w:rsid w:val="00987005"/>
    <w:rsid w:val="00995431"/>
    <w:rsid w:val="00A238BD"/>
    <w:rsid w:val="00A55B8D"/>
    <w:rsid w:val="00A7481B"/>
    <w:rsid w:val="00AF4CAC"/>
    <w:rsid w:val="00C71E5D"/>
    <w:rsid w:val="00C83913"/>
    <w:rsid w:val="00D159F4"/>
    <w:rsid w:val="00D65020"/>
    <w:rsid w:val="00D716F2"/>
    <w:rsid w:val="00E23E1B"/>
    <w:rsid w:val="00E75C55"/>
    <w:rsid w:val="00E95A5C"/>
    <w:rsid w:val="00EA6E75"/>
    <w:rsid w:val="00EE64B0"/>
    <w:rsid w:val="00EF01E3"/>
    <w:rsid w:val="00F12717"/>
    <w:rsid w:val="00F24CA0"/>
    <w:rsid w:val="00F51C65"/>
    <w:rsid w:val="00FD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6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2300"/>
    <w:rPr>
      <w:i/>
      <w:iCs/>
    </w:rPr>
  </w:style>
  <w:style w:type="character" w:styleId="a4">
    <w:name w:val="Hyperlink"/>
    <w:basedOn w:val="a0"/>
    <w:uiPriority w:val="99"/>
    <w:semiHidden/>
    <w:unhideWhenUsed/>
    <w:rsid w:val="0049230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2300"/>
    <w:rPr>
      <w:color w:val="954F72" w:themeColor="followedHyperlink"/>
      <w:u w:val="single"/>
    </w:rPr>
  </w:style>
  <w:style w:type="character" w:customStyle="1" w:styleId="mixed-citation">
    <w:name w:val="mixed-citation"/>
    <w:basedOn w:val="a0"/>
    <w:rsid w:val="00492300"/>
  </w:style>
  <w:style w:type="character" w:customStyle="1" w:styleId="ref-title">
    <w:name w:val="ref-title"/>
    <w:basedOn w:val="a0"/>
    <w:rsid w:val="00492300"/>
  </w:style>
  <w:style w:type="character" w:customStyle="1" w:styleId="ref-journal">
    <w:name w:val="ref-journal"/>
    <w:basedOn w:val="a0"/>
    <w:rsid w:val="00492300"/>
  </w:style>
  <w:style w:type="character" w:customStyle="1" w:styleId="ref-vol">
    <w:name w:val="ref-vol"/>
    <w:basedOn w:val="a0"/>
    <w:rsid w:val="00492300"/>
  </w:style>
  <w:style w:type="character" w:customStyle="1" w:styleId="ref-iss">
    <w:name w:val="ref-iss"/>
    <w:basedOn w:val="a0"/>
    <w:rsid w:val="00492300"/>
  </w:style>
  <w:style w:type="table" w:styleId="a6">
    <w:name w:val="Table Grid"/>
    <w:basedOn w:val="a1"/>
    <w:uiPriority w:val="39"/>
    <w:rsid w:val="009954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65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020"/>
    <w:rPr>
      <w:rFonts w:ascii="Segoe UI" w:hAnsi="Segoe UI" w:cs="Segoe UI"/>
      <w:sz w:val="18"/>
      <w:szCs w:val="18"/>
    </w:rPr>
  </w:style>
  <w:style w:type="character" w:customStyle="1" w:styleId="current-selection">
    <w:name w:val="current-selection"/>
    <w:basedOn w:val="a0"/>
    <w:rsid w:val="007D3B6D"/>
  </w:style>
  <w:style w:type="character" w:customStyle="1" w:styleId="a9">
    <w:name w:val="_"/>
    <w:basedOn w:val="a0"/>
    <w:rsid w:val="007D3B6D"/>
  </w:style>
  <w:style w:type="paragraph" w:styleId="aa">
    <w:name w:val="Normal (Web)"/>
    <w:basedOn w:val="a"/>
    <w:uiPriority w:val="99"/>
    <w:unhideWhenUsed/>
    <w:rsid w:val="00C71E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6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2300"/>
    <w:rPr>
      <w:i/>
      <w:iCs/>
    </w:rPr>
  </w:style>
  <w:style w:type="character" w:styleId="a4">
    <w:name w:val="Hyperlink"/>
    <w:basedOn w:val="a0"/>
    <w:uiPriority w:val="99"/>
    <w:semiHidden/>
    <w:unhideWhenUsed/>
    <w:rsid w:val="0049230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2300"/>
    <w:rPr>
      <w:color w:val="954F72" w:themeColor="followedHyperlink"/>
      <w:u w:val="single"/>
    </w:rPr>
  </w:style>
  <w:style w:type="character" w:customStyle="1" w:styleId="mixed-citation">
    <w:name w:val="mixed-citation"/>
    <w:basedOn w:val="a0"/>
    <w:rsid w:val="00492300"/>
  </w:style>
  <w:style w:type="character" w:customStyle="1" w:styleId="ref-title">
    <w:name w:val="ref-title"/>
    <w:basedOn w:val="a0"/>
    <w:rsid w:val="00492300"/>
  </w:style>
  <w:style w:type="character" w:customStyle="1" w:styleId="ref-journal">
    <w:name w:val="ref-journal"/>
    <w:basedOn w:val="a0"/>
    <w:rsid w:val="00492300"/>
  </w:style>
  <w:style w:type="character" w:customStyle="1" w:styleId="ref-vol">
    <w:name w:val="ref-vol"/>
    <w:basedOn w:val="a0"/>
    <w:rsid w:val="00492300"/>
  </w:style>
  <w:style w:type="character" w:customStyle="1" w:styleId="ref-iss">
    <w:name w:val="ref-iss"/>
    <w:basedOn w:val="a0"/>
    <w:rsid w:val="00492300"/>
  </w:style>
  <w:style w:type="table" w:styleId="a6">
    <w:name w:val="Table Grid"/>
    <w:basedOn w:val="a1"/>
    <w:uiPriority w:val="39"/>
    <w:rsid w:val="009954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65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020"/>
    <w:rPr>
      <w:rFonts w:ascii="Segoe UI" w:hAnsi="Segoe UI" w:cs="Segoe UI"/>
      <w:sz w:val="18"/>
      <w:szCs w:val="18"/>
    </w:rPr>
  </w:style>
  <w:style w:type="character" w:customStyle="1" w:styleId="current-selection">
    <w:name w:val="current-selection"/>
    <w:basedOn w:val="a0"/>
    <w:rsid w:val="007D3B6D"/>
  </w:style>
  <w:style w:type="character" w:customStyle="1" w:styleId="a9">
    <w:name w:val="_"/>
    <w:basedOn w:val="a0"/>
    <w:rsid w:val="007D3B6D"/>
  </w:style>
  <w:style w:type="paragraph" w:styleId="aa">
    <w:name w:val="Normal (Web)"/>
    <w:basedOn w:val="a"/>
    <w:uiPriority w:val="99"/>
    <w:unhideWhenUsed/>
    <w:rsid w:val="00C71E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16/j.jim.2006.09.014" TargetMode="External"/><Relationship Id="rId5" Type="http://schemas.openxmlformats.org/officeDocument/2006/relationships/hyperlink" Target="https://www.ncbi.nlm.nih.gov/pmc/articles/PMC593697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Zgoda Victor G.</dc:creator>
  <cp:lastModifiedBy>Calipso</cp:lastModifiedBy>
  <cp:revision>3</cp:revision>
  <cp:lastPrinted>2018-06-09T08:27:00Z</cp:lastPrinted>
  <dcterms:created xsi:type="dcterms:W3CDTF">2018-06-17T11:43:00Z</dcterms:created>
  <dcterms:modified xsi:type="dcterms:W3CDTF">2018-06-17T12:22:00Z</dcterms:modified>
</cp:coreProperties>
</file>