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70B4" w14:textId="75EC7D57" w:rsidR="00044356" w:rsidRPr="00C57ABE" w:rsidRDefault="00044356" w:rsidP="00044356">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sidR="00E652BB">
        <w:rPr>
          <w:rFonts w:ascii="Arial" w:hAnsi="Arial" w:cs="Arial"/>
          <w:b/>
          <w:bCs/>
          <w:sz w:val="24"/>
          <w:szCs w:val="24"/>
        </w:rPr>
        <w:t>4</w:t>
      </w:r>
      <w:r w:rsidRPr="00C57ABE">
        <w:rPr>
          <w:rFonts w:ascii="Arial" w:hAnsi="Arial" w:cs="Arial"/>
          <w:b/>
          <w:bCs/>
          <w:sz w:val="24"/>
          <w:szCs w:val="24"/>
        </w:rPr>
        <w:t xml:space="preserve">: </w:t>
      </w:r>
      <w:r w:rsidRPr="00C57ABE">
        <w:rPr>
          <w:rFonts w:ascii="Arial" w:hAnsi="Arial" w:cs="Arial"/>
          <w:b/>
          <w:sz w:val="24"/>
          <w:szCs w:val="24"/>
        </w:rPr>
        <w:t>Being and becoming who I am</w:t>
      </w:r>
      <w:r w:rsidR="00E652BB">
        <w:rPr>
          <w:rFonts w:ascii="Arial" w:hAnsi="Arial" w:cs="Arial"/>
          <w:b/>
          <w:sz w:val="24"/>
          <w:szCs w:val="24"/>
        </w:rPr>
        <w:t>: Social Identities</w:t>
      </w:r>
    </w:p>
    <w:bookmarkEnd w:id="0"/>
    <w:p w14:paraId="3B59AF44" w14:textId="6822329E" w:rsidR="00044356" w:rsidRPr="0063166C" w:rsidRDefault="00044356" w:rsidP="00044356">
      <w:pPr>
        <w:spacing w:after="120" w:line="240" w:lineRule="auto"/>
        <w:rPr>
          <w:rFonts w:ascii="Arial" w:hAnsi="Arial" w:cs="Arial"/>
          <w:b/>
          <w:bCs/>
          <w:sz w:val="24"/>
          <w:szCs w:val="24"/>
        </w:rPr>
      </w:pPr>
      <w:r w:rsidRPr="0063166C">
        <w:rPr>
          <w:rFonts w:ascii="Arial" w:hAnsi="Arial" w:cs="Arial"/>
          <w:b/>
          <w:bCs/>
          <w:sz w:val="24"/>
          <w:szCs w:val="24"/>
        </w:rPr>
        <w:t xml:space="preserve">Practice </w:t>
      </w:r>
      <w:r w:rsidR="00D100B1">
        <w:rPr>
          <w:rFonts w:ascii="Arial" w:hAnsi="Arial" w:cs="Arial"/>
          <w:b/>
          <w:bCs/>
          <w:sz w:val="24"/>
          <w:szCs w:val="24"/>
        </w:rPr>
        <w:t>task</w:t>
      </w:r>
      <w:r>
        <w:rPr>
          <w:rFonts w:ascii="Arial" w:hAnsi="Arial" w:cs="Arial"/>
          <w:b/>
          <w:bCs/>
          <w:sz w:val="24"/>
          <w:szCs w:val="24"/>
        </w:rPr>
        <w:t xml:space="preserve"> 1</w:t>
      </w:r>
      <w:r w:rsidRPr="0063166C">
        <w:rPr>
          <w:rFonts w:ascii="Arial" w:hAnsi="Arial" w:cs="Arial"/>
          <w:b/>
          <w:bCs/>
          <w:sz w:val="24"/>
          <w:szCs w:val="24"/>
        </w:rPr>
        <w:t>:</w:t>
      </w:r>
      <w:r w:rsidR="00E02671">
        <w:rPr>
          <w:rFonts w:ascii="Arial" w:hAnsi="Arial" w:cs="Arial"/>
          <w:b/>
          <w:bCs/>
          <w:sz w:val="24"/>
          <w:szCs w:val="24"/>
        </w:rPr>
        <w:t xml:space="preserve"> Review of resources and gender</w:t>
      </w:r>
    </w:p>
    <w:p w14:paraId="1C04A094" w14:textId="77777777" w:rsidR="00E652BB" w:rsidRPr="00D100B1" w:rsidRDefault="00E652BB" w:rsidP="00E652BB">
      <w:pPr>
        <w:spacing w:after="120" w:line="240" w:lineRule="auto"/>
        <w:rPr>
          <w:rFonts w:ascii="Arial" w:hAnsi="Arial" w:cs="Arial"/>
          <w:bCs/>
          <w:sz w:val="24"/>
          <w:szCs w:val="24"/>
          <w:lang w:val="en-US"/>
        </w:rPr>
      </w:pPr>
      <w:r w:rsidRPr="00D100B1">
        <w:rPr>
          <w:rFonts w:ascii="Arial" w:hAnsi="Arial" w:cs="Arial"/>
          <w:bCs/>
          <w:sz w:val="24"/>
          <w:szCs w:val="24"/>
          <w:lang w:val="en-US"/>
        </w:rPr>
        <w:t xml:space="preserve">Anti-bias practice in relation to gender is not new, as exemplified by this quote from A letter written to the magazine ‘Parent’s Review’ in </w:t>
      </w:r>
      <w:r w:rsidRPr="00D100B1">
        <w:rPr>
          <w:rFonts w:ascii="Arial" w:hAnsi="Arial" w:cs="Arial"/>
          <w:b/>
          <w:sz w:val="24"/>
          <w:szCs w:val="24"/>
          <w:lang w:val="en-US"/>
        </w:rPr>
        <w:t>1897</w:t>
      </w:r>
      <w:r w:rsidRPr="00D100B1">
        <w:rPr>
          <w:rFonts w:ascii="Arial" w:hAnsi="Arial" w:cs="Arial"/>
          <w:bCs/>
          <w:sz w:val="24"/>
          <w:szCs w:val="24"/>
          <w:lang w:val="en-US"/>
        </w:rPr>
        <w:t>.</w:t>
      </w:r>
    </w:p>
    <w:p w14:paraId="78910489" w14:textId="77777777" w:rsidR="00E652BB" w:rsidRPr="00D100B1" w:rsidRDefault="00E652BB" w:rsidP="00E652BB">
      <w:pPr>
        <w:spacing w:after="120" w:line="240" w:lineRule="auto"/>
        <w:ind w:left="284" w:right="804"/>
        <w:rPr>
          <w:rFonts w:ascii="Arial" w:hAnsi="Arial" w:cs="Arial"/>
          <w:bCs/>
          <w:sz w:val="24"/>
          <w:szCs w:val="24"/>
          <w:lang w:val="en-US"/>
        </w:rPr>
      </w:pPr>
      <w:r w:rsidRPr="00D100B1">
        <w:rPr>
          <w:rFonts w:ascii="Arial" w:hAnsi="Arial" w:cs="Arial"/>
          <w:bCs/>
          <w:sz w:val="24"/>
          <w:szCs w:val="24"/>
          <w:lang w:val="en-US"/>
        </w:rPr>
        <w:t>“Do not let us drift into discussion of what games are suitable for boys and girls. Neither let us stray away to consider what are the varying duties which have to be done by men and women when mature life is reached. Let us look at life as a whole, let us realize we are training ‘human beings’…How then shall we best contribute to the good of the world? Is it by thinking of and treating our children as ‘boys’ and ‘girls’ or by never failing to look at them as characters?”</w:t>
      </w:r>
    </w:p>
    <w:p w14:paraId="6E67F381" w14:textId="77777777" w:rsidR="00E652BB" w:rsidRPr="00D100B1" w:rsidRDefault="00E652BB" w:rsidP="00E652BB">
      <w:pPr>
        <w:spacing w:after="120" w:line="240" w:lineRule="auto"/>
        <w:rPr>
          <w:rFonts w:ascii="Arial" w:hAnsi="Arial" w:cs="Arial"/>
          <w:bCs/>
          <w:sz w:val="24"/>
          <w:szCs w:val="24"/>
          <w:lang w:val="en-US"/>
        </w:rPr>
      </w:pPr>
      <w:r w:rsidRPr="00D100B1">
        <w:rPr>
          <w:rFonts w:ascii="Arial" w:hAnsi="Arial" w:cs="Arial"/>
          <w:bCs/>
          <w:sz w:val="24"/>
          <w:szCs w:val="24"/>
          <w:lang w:val="en-US"/>
        </w:rPr>
        <w:t>Either review your setting or go into a toy shop. How many toys and resources are ‘gendered’ and aimed at boys or girls and how many are for ‘human beings’?</w:t>
      </w:r>
    </w:p>
    <w:p w14:paraId="6BDFE39B" w14:textId="77777777" w:rsidR="00000000" w:rsidRPr="00E652BB" w:rsidRDefault="00000000"/>
    <w:sectPr w:rsidR="005351BB" w:rsidRPr="00E65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56"/>
    <w:rsid w:val="00044356"/>
    <w:rsid w:val="00217C70"/>
    <w:rsid w:val="003C7F9B"/>
    <w:rsid w:val="00501A5E"/>
    <w:rsid w:val="00D100B1"/>
    <w:rsid w:val="00E02671"/>
    <w:rsid w:val="00E6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BD3C"/>
  <w15:chartTrackingRefBased/>
  <w15:docId w15:val="{1F9EFECA-8431-4B81-AA5D-5F1C2CF8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2023-01-04T10:42:00Z</dcterms:created>
  <dcterms:modified xsi:type="dcterms:W3CDTF">2023-12-06T13:58:00Z</dcterms:modified>
</cp:coreProperties>
</file>