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9C856" w14:textId="77777777" w:rsidR="00C237A5" w:rsidRDefault="000F7606" w:rsidP="000F7606">
      <w:pPr>
        <w:spacing w:after="120" w:line="240" w:lineRule="auto"/>
        <w:rPr>
          <w:rFonts w:ascii="Arial" w:hAnsi="Arial" w:cs="Arial"/>
          <w:b/>
          <w:sz w:val="24"/>
          <w:szCs w:val="24"/>
          <w:lang w:val="en-US"/>
        </w:rPr>
      </w:pPr>
      <w:r w:rsidRPr="00B52709">
        <w:rPr>
          <w:rFonts w:ascii="Arial" w:hAnsi="Arial" w:cs="Arial"/>
          <w:b/>
          <w:sz w:val="24"/>
          <w:szCs w:val="24"/>
          <w:lang w:val="en-US"/>
        </w:rPr>
        <w:t>9.2: Key Aspect of Practice: Health and Well-being</w:t>
      </w:r>
    </w:p>
    <w:p w14:paraId="2E38D064" w14:textId="61D15BC3" w:rsidR="000F7606" w:rsidRPr="00B52709" w:rsidRDefault="00C237A5" w:rsidP="000F7606">
      <w:pPr>
        <w:spacing w:after="120" w:line="240" w:lineRule="auto"/>
        <w:rPr>
          <w:rFonts w:ascii="Arial" w:hAnsi="Arial" w:cs="Arial"/>
          <w:b/>
          <w:sz w:val="24"/>
          <w:szCs w:val="24"/>
          <w:lang w:val="en-US"/>
        </w:rPr>
      </w:pPr>
      <w:r>
        <w:rPr>
          <w:rFonts w:ascii="Arial" w:hAnsi="Arial" w:cs="Arial"/>
          <w:b/>
          <w:sz w:val="24"/>
          <w:szCs w:val="24"/>
          <w:lang w:val="en-US"/>
        </w:rPr>
        <w:t xml:space="preserve">Workbook </w:t>
      </w:r>
      <w:r w:rsidR="000F7606" w:rsidRPr="007E650A">
        <w:rPr>
          <w:rFonts w:ascii="Arial" w:hAnsi="Arial" w:cs="Arial"/>
          <w:b/>
          <w:sz w:val="24"/>
          <w:szCs w:val="24"/>
        </w:rPr>
        <w:tab/>
      </w:r>
    </w:p>
    <w:p w14:paraId="2BD8FCC7" w14:textId="18034FF2" w:rsidR="000F7606" w:rsidRDefault="000F7606" w:rsidP="000F7606">
      <w:pPr>
        <w:pStyle w:val="ListBullet1"/>
      </w:pPr>
      <w:r>
        <w:t>This Key Aspect of Practice focuses on Physical Health and you will find further information on c</w:t>
      </w:r>
      <w:r w:rsidRPr="00A81A07">
        <w:t>ommon infectious childhood illnesses</w:t>
      </w:r>
      <w:r>
        <w:t xml:space="preserve"> here.</w:t>
      </w:r>
    </w:p>
    <w:p w14:paraId="08C32A8A" w14:textId="77777777" w:rsidR="000F7606" w:rsidRPr="00A81A07" w:rsidRDefault="000F7606" w:rsidP="000F7606">
      <w:pPr>
        <w:spacing w:after="120" w:line="240" w:lineRule="auto"/>
        <w:rPr>
          <w:rFonts w:ascii="Arial" w:hAnsi="Arial" w:cs="Arial"/>
          <w:b/>
          <w:bCs/>
          <w:sz w:val="24"/>
          <w:szCs w:val="24"/>
        </w:rPr>
      </w:pPr>
      <w:r w:rsidRPr="00A81A07">
        <w:rPr>
          <w:rFonts w:ascii="Arial" w:hAnsi="Arial" w:cs="Arial"/>
          <w:b/>
          <w:bCs/>
          <w:sz w:val="24"/>
          <w:szCs w:val="24"/>
        </w:rPr>
        <w:t>Further thinking about health and poverty</w:t>
      </w:r>
    </w:p>
    <w:p w14:paraId="42439C0A" w14:textId="77777777" w:rsidR="000F7606" w:rsidRPr="000B1FEB" w:rsidRDefault="000F7606" w:rsidP="000F7606">
      <w:pPr>
        <w:spacing w:after="120" w:line="240" w:lineRule="auto"/>
        <w:rPr>
          <w:rFonts w:ascii="Arial" w:hAnsi="Arial" w:cs="Arial"/>
          <w:sz w:val="24"/>
          <w:szCs w:val="24"/>
        </w:rPr>
      </w:pPr>
      <w:r w:rsidRPr="000B1FEB">
        <w:rPr>
          <w:rFonts w:ascii="Arial" w:hAnsi="Arial" w:cs="Arial"/>
          <w:sz w:val="24"/>
          <w:szCs w:val="24"/>
        </w:rPr>
        <w:t>The below data is from the year 2019/20. More recent data is not available at the moment as data collection was affected by the pandemic. When newer data is released, these statistics will be updated.</w:t>
      </w:r>
    </w:p>
    <w:p w14:paraId="36C61668" w14:textId="77777777" w:rsidR="000F7606" w:rsidRPr="000B1FEB" w:rsidRDefault="000F7606" w:rsidP="000F7606">
      <w:pPr>
        <w:numPr>
          <w:ilvl w:val="0"/>
          <w:numId w:val="2"/>
        </w:numPr>
        <w:spacing w:after="120" w:line="240" w:lineRule="auto"/>
        <w:rPr>
          <w:rFonts w:ascii="Arial" w:hAnsi="Arial" w:cs="Arial"/>
          <w:sz w:val="24"/>
          <w:szCs w:val="24"/>
        </w:rPr>
      </w:pPr>
      <w:r w:rsidRPr="000B1FEB">
        <w:rPr>
          <w:rFonts w:ascii="Arial" w:hAnsi="Arial" w:cs="Arial"/>
          <w:sz w:val="24"/>
          <w:szCs w:val="24"/>
        </w:rPr>
        <w:t xml:space="preserve">49 per cent of children living in </w:t>
      </w:r>
      <w:r w:rsidRPr="000B1FEB">
        <w:rPr>
          <w:rFonts w:ascii="Arial" w:hAnsi="Arial" w:cs="Arial"/>
          <w:b/>
          <w:bCs/>
          <w:sz w:val="24"/>
          <w:szCs w:val="24"/>
        </w:rPr>
        <w:t>lone-parent families</w:t>
      </w:r>
      <w:r w:rsidRPr="000B1FEB">
        <w:rPr>
          <w:rFonts w:ascii="Arial" w:hAnsi="Arial" w:cs="Arial"/>
          <w:sz w:val="24"/>
          <w:szCs w:val="24"/>
        </w:rPr>
        <w:t xml:space="preserve"> are in poverty.</w:t>
      </w:r>
      <w:hyperlink r:id="rId5" w:anchor="footnote3_0z8t1ld" w:tooltip="Households Below Average Income, Statistics on the number and percentage of people living in low income households for financial years 1994/95 to 2019/20, Table 4_5db. Department for Work and Pensions, 2021" w:history="1">
        <w:r w:rsidRPr="000B1FEB">
          <w:rPr>
            <w:rStyle w:val="Hyperlink"/>
            <w:rFonts w:ascii="Arial" w:hAnsi="Arial" w:cs="Arial"/>
            <w:color w:val="auto"/>
            <w:sz w:val="24"/>
            <w:szCs w:val="24"/>
          </w:rPr>
          <w:t>3</w:t>
        </w:r>
      </w:hyperlink>
      <w:r w:rsidRPr="000B1FEB">
        <w:rPr>
          <w:rFonts w:ascii="Arial" w:hAnsi="Arial" w:cs="Arial"/>
          <w:sz w:val="24"/>
          <w:szCs w:val="24"/>
        </w:rPr>
        <w:t xml:space="preserve"> Lone parents face a higher risk of poverty due to the lack of an additional earner, low rates of maintenance payments, gender inequality in employment and pay, and childcare costs. </w:t>
      </w:r>
    </w:p>
    <w:p w14:paraId="68566766" w14:textId="77777777" w:rsidR="000F7606" w:rsidRPr="000B1FEB" w:rsidRDefault="000F7606" w:rsidP="000F7606">
      <w:pPr>
        <w:numPr>
          <w:ilvl w:val="0"/>
          <w:numId w:val="2"/>
        </w:numPr>
        <w:spacing w:after="120" w:line="240" w:lineRule="auto"/>
        <w:rPr>
          <w:rFonts w:ascii="Arial" w:hAnsi="Arial" w:cs="Arial"/>
          <w:sz w:val="24"/>
          <w:szCs w:val="24"/>
        </w:rPr>
      </w:pPr>
      <w:r w:rsidRPr="000B1FEB">
        <w:rPr>
          <w:rFonts w:ascii="Arial" w:hAnsi="Arial" w:cs="Arial"/>
          <w:sz w:val="24"/>
          <w:szCs w:val="24"/>
        </w:rPr>
        <w:t xml:space="preserve">Children from </w:t>
      </w:r>
      <w:r w:rsidRPr="000B1FEB">
        <w:rPr>
          <w:rFonts w:ascii="Arial" w:hAnsi="Arial" w:cs="Arial"/>
          <w:b/>
          <w:bCs/>
          <w:sz w:val="24"/>
          <w:szCs w:val="24"/>
        </w:rPr>
        <w:t>Black and minority ethnic groups</w:t>
      </w:r>
      <w:r w:rsidRPr="000B1FEB">
        <w:rPr>
          <w:rFonts w:ascii="Arial" w:hAnsi="Arial" w:cs="Arial"/>
          <w:sz w:val="24"/>
          <w:szCs w:val="24"/>
        </w:rPr>
        <w:t xml:space="preserve"> are more likely to be in poverty: 46 per cent are now in poverty, compared with 26 per cent of children in white British families.</w:t>
      </w:r>
      <w:hyperlink r:id="rId6" w:anchor="footnote4_f2bbt1h" w:tooltip="Author’s Calculations from Households Below Average Income, Statistics on the number and percentage of people living in low income households for financial years 1994/95 to 2019/20, Tables 4_3db &amp; 4_5db. Department for Work and Pensions, 2021" w:history="1">
        <w:r w:rsidRPr="000B1FEB">
          <w:rPr>
            <w:rStyle w:val="Hyperlink"/>
            <w:rFonts w:ascii="Arial" w:hAnsi="Arial" w:cs="Arial"/>
            <w:color w:val="auto"/>
            <w:sz w:val="24"/>
            <w:szCs w:val="24"/>
          </w:rPr>
          <w:t>4</w:t>
        </w:r>
      </w:hyperlink>
    </w:p>
    <w:p w14:paraId="55C9A92B" w14:textId="77777777" w:rsidR="000F7606" w:rsidRPr="000B1FEB" w:rsidRDefault="000F7606" w:rsidP="000F7606">
      <w:pPr>
        <w:numPr>
          <w:ilvl w:val="0"/>
          <w:numId w:val="2"/>
        </w:numPr>
        <w:spacing w:after="120" w:line="240" w:lineRule="auto"/>
        <w:rPr>
          <w:rFonts w:ascii="Arial" w:hAnsi="Arial" w:cs="Arial"/>
          <w:sz w:val="24"/>
          <w:szCs w:val="24"/>
        </w:rPr>
      </w:pPr>
      <w:r w:rsidRPr="000B1FEB">
        <w:rPr>
          <w:rFonts w:ascii="Arial" w:hAnsi="Arial" w:cs="Arial"/>
          <w:sz w:val="24"/>
          <w:szCs w:val="24"/>
        </w:rPr>
        <w:t xml:space="preserve">Work does not provide a guaranteed route out of poverty in the UK. 75 per cent of children growing up in poverty live in a </w:t>
      </w:r>
      <w:r w:rsidRPr="000B1FEB">
        <w:rPr>
          <w:rFonts w:ascii="Arial" w:hAnsi="Arial" w:cs="Arial"/>
          <w:b/>
          <w:bCs/>
          <w:sz w:val="24"/>
          <w:szCs w:val="24"/>
        </w:rPr>
        <w:t>household where at least one person works</w:t>
      </w:r>
      <w:r w:rsidRPr="000B1FEB">
        <w:rPr>
          <w:rFonts w:ascii="Arial" w:hAnsi="Arial" w:cs="Arial"/>
          <w:sz w:val="24"/>
          <w:szCs w:val="24"/>
        </w:rPr>
        <w:t>.</w:t>
      </w:r>
      <w:hyperlink r:id="rId7" w:anchor="footnote5_4ewboen" w:tooltip="Households Below Average Income, Statistics on the number and percentage of people living in low income households for financial years 1994/95 to 2019/20, Table 4.3db. Department for Work and Pensions, 2021" w:history="1">
        <w:r w:rsidRPr="000B1FEB">
          <w:rPr>
            <w:rStyle w:val="Hyperlink"/>
            <w:rFonts w:ascii="Arial" w:hAnsi="Arial" w:cs="Arial"/>
            <w:color w:val="auto"/>
            <w:sz w:val="24"/>
            <w:szCs w:val="24"/>
          </w:rPr>
          <w:t>5</w:t>
        </w:r>
      </w:hyperlink>
    </w:p>
    <w:p w14:paraId="346BACCA" w14:textId="77777777" w:rsidR="000F7606" w:rsidRPr="000B1FEB" w:rsidRDefault="000F7606" w:rsidP="000F7606">
      <w:pPr>
        <w:numPr>
          <w:ilvl w:val="0"/>
          <w:numId w:val="2"/>
        </w:numPr>
        <w:spacing w:after="120" w:line="240" w:lineRule="auto"/>
        <w:rPr>
          <w:rFonts w:ascii="Arial" w:hAnsi="Arial" w:cs="Arial"/>
          <w:sz w:val="24"/>
          <w:szCs w:val="24"/>
        </w:rPr>
      </w:pPr>
      <w:r w:rsidRPr="000B1FEB">
        <w:rPr>
          <w:rFonts w:ascii="Arial" w:hAnsi="Arial" w:cs="Arial"/>
          <w:sz w:val="24"/>
          <w:szCs w:val="24"/>
        </w:rPr>
        <w:t xml:space="preserve">Children in </w:t>
      </w:r>
      <w:r w:rsidRPr="000B1FEB">
        <w:rPr>
          <w:rFonts w:ascii="Arial" w:hAnsi="Arial" w:cs="Arial"/>
          <w:b/>
          <w:bCs/>
          <w:sz w:val="24"/>
          <w:szCs w:val="24"/>
        </w:rPr>
        <w:t>larger</w:t>
      </w:r>
      <w:r w:rsidRPr="000B1FEB">
        <w:rPr>
          <w:rFonts w:ascii="Arial" w:hAnsi="Arial" w:cs="Arial"/>
          <w:sz w:val="24"/>
          <w:szCs w:val="24"/>
        </w:rPr>
        <w:t xml:space="preserve"> </w:t>
      </w:r>
      <w:r w:rsidRPr="000B1FEB">
        <w:rPr>
          <w:rFonts w:ascii="Arial" w:hAnsi="Arial" w:cs="Arial"/>
          <w:b/>
          <w:bCs/>
          <w:sz w:val="24"/>
          <w:szCs w:val="24"/>
        </w:rPr>
        <w:t>families</w:t>
      </w:r>
      <w:r w:rsidRPr="000B1FEB">
        <w:rPr>
          <w:rFonts w:ascii="Arial" w:hAnsi="Arial" w:cs="Arial"/>
          <w:sz w:val="24"/>
          <w:szCs w:val="24"/>
        </w:rPr>
        <w:t xml:space="preserve"> are at a far greater risk of living in poverty – 47 per cent of children living in families with 3 or more children live in poverty.</w:t>
      </w:r>
      <w:hyperlink r:id="rId8" w:anchor="footnote6_lnnh3nd" w:tooltip="Households Below Average Income, Statistics on the number and percentage of people living in low income households for financial years 1994/95 to 2019/20, Table 4_5db. Department for Work and Pensions, 2021" w:history="1">
        <w:r w:rsidRPr="000B1FEB">
          <w:rPr>
            <w:rStyle w:val="Hyperlink"/>
            <w:rFonts w:ascii="Arial" w:hAnsi="Arial" w:cs="Arial"/>
            <w:color w:val="auto"/>
            <w:sz w:val="24"/>
            <w:szCs w:val="24"/>
          </w:rPr>
          <w:t>6</w:t>
        </w:r>
      </w:hyperlink>
    </w:p>
    <w:p w14:paraId="21D096E1" w14:textId="77777777" w:rsidR="000F7606" w:rsidRPr="000B1FEB" w:rsidRDefault="000F7606" w:rsidP="000F7606">
      <w:pPr>
        <w:numPr>
          <w:ilvl w:val="0"/>
          <w:numId w:val="2"/>
        </w:numPr>
        <w:spacing w:after="120" w:line="240" w:lineRule="auto"/>
        <w:rPr>
          <w:rFonts w:ascii="Arial" w:hAnsi="Arial" w:cs="Arial"/>
          <w:sz w:val="24"/>
          <w:szCs w:val="24"/>
        </w:rPr>
      </w:pPr>
      <w:r w:rsidRPr="000B1FEB">
        <w:rPr>
          <w:rFonts w:ascii="Arial" w:hAnsi="Arial" w:cs="Arial"/>
          <w:sz w:val="24"/>
          <w:szCs w:val="24"/>
        </w:rPr>
        <w:t>Between 1998 and 2003 reducing child poverty was made a priority - with a comprehensive strategy and investment in children - and the number of children in poverty fell by 600,000.</w:t>
      </w:r>
      <w:hyperlink r:id="rId9" w:anchor="footnote7_dr56260" w:tooltip="Households Below Average Income, Statistics on the number and percentage of people living in low income households for financial years 1994/95 to 2018/19, Table 4.3tr. Department for Work and Pensions, 2020" w:history="1">
        <w:r w:rsidRPr="000B1FEB">
          <w:rPr>
            <w:rStyle w:val="Hyperlink"/>
            <w:rFonts w:ascii="Arial" w:hAnsi="Arial" w:cs="Arial"/>
            <w:color w:val="auto"/>
            <w:sz w:val="24"/>
            <w:szCs w:val="24"/>
          </w:rPr>
          <w:t>7</w:t>
        </w:r>
      </w:hyperlink>
    </w:p>
    <w:p w14:paraId="5A38F2E1" w14:textId="77777777" w:rsidR="000F7606" w:rsidRPr="000B1FEB" w:rsidRDefault="000F7606" w:rsidP="000F7606">
      <w:pPr>
        <w:spacing w:after="120" w:line="240" w:lineRule="auto"/>
        <w:rPr>
          <w:rFonts w:ascii="Arial" w:hAnsi="Arial" w:cs="Arial"/>
          <w:sz w:val="24"/>
          <w:szCs w:val="24"/>
        </w:rPr>
      </w:pPr>
      <w:r w:rsidRPr="000B1FEB">
        <w:rPr>
          <w:rFonts w:ascii="Arial" w:hAnsi="Arial" w:cs="Arial"/>
          <w:sz w:val="24"/>
          <w:szCs w:val="24"/>
        </w:rPr>
        <w:t>(All poverty figures are after housing costs)</w:t>
      </w:r>
    </w:p>
    <w:p w14:paraId="55CA83F8" w14:textId="77777777" w:rsidR="000F7606" w:rsidRPr="000B1FEB" w:rsidRDefault="00000000" w:rsidP="000F7606">
      <w:pPr>
        <w:spacing w:after="120" w:line="240" w:lineRule="auto"/>
        <w:rPr>
          <w:rFonts w:ascii="Arial" w:hAnsi="Arial" w:cs="Arial"/>
          <w:sz w:val="24"/>
          <w:szCs w:val="24"/>
        </w:rPr>
      </w:pPr>
      <w:hyperlink r:id="rId10" w:history="1">
        <w:r w:rsidR="000F7606" w:rsidRPr="000B1FEB">
          <w:rPr>
            <w:rStyle w:val="Hyperlink"/>
            <w:rFonts w:ascii="Arial" w:hAnsi="Arial" w:cs="Arial"/>
            <w:color w:val="auto"/>
            <w:sz w:val="24"/>
            <w:szCs w:val="24"/>
          </w:rPr>
          <w:t>https://cpag.org.uk/child-poverty/child-poverty-facts-and-figures</w:t>
        </w:r>
      </w:hyperlink>
      <w:r w:rsidR="000F7606" w:rsidRPr="000B1FEB">
        <w:rPr>
          <w:rFonts w:ascii="Arial" w:hAnsi="Arial" w:cs="Arial"/>
          <w:sz w:val="24"/>
          <w:szCs w:val="24"/>
        </w:rPr>
        <w:t xml:space="preserve"> </w:t>
      </w:r>
    </w:p>
    <w:p w14:paraId="55359FF4" w14:textId="77777777" w:rsidR="000F7606" w:rsidRDefault="000F7606" w:rsidP="000F7606">
      <w:pPr>
        <w:spacing w:after="120" w:line="240" w:lineRule="auto"/>
        <w:rPr>
          <w:rFonts w:ascii="Arial" w:hAnsi="Arial" w:cs="Arial"/>
          <w:sz w:val="24"/>
          <w:szCs w:val="24"/>
        </w:rPr>
      </w:pPr>
    </w:p>
    <w:p w14:paraId="05462BD6" w14:textId="77777777" w:rsidR="000F7606" w:rsidRPr="000B1FEB" w:rsidRDefault="000F7606" w:rsidP="000F7606">
      <w:pPr>
        <w:spacing w:after="120" w:line="240" w:lineRule="auto"/>
        <w:rPr>
          <w:rFonts w:ascii="Arial" w:hAnsi="Arial" w:cs="Arial"/>
          <w:sz w:val="24"/>
          <w:szCs w:val="24"/>
        </w:rPr>
      </w:pPr>
      <w:r w:rsidRPr="00A81A07">
        <w:rPr>
          <w:rFonts w:ascii="Arial" w:hAnsi="Arial" w:cs="Arial"/>
          <w:b/>
          <w:bCs/>
          <w:sz w:val="24"/>
          <w:szCs w:val="24"/>
        </w:rPr>
        <w:t>Further Thinking: Information about common health issues in early childhood</w:t>
      </w:r>
    </w:p>
    <w:p w14:paraId="700C5C33" w14:textId="77777777" w:rsidR="000F7606" w:rsidRPr="000B1FEB" w:rsidRDefault="000F7606" w:rsidP="000F7606">
      <w:pPr>
        <w:pStyle w:val="ListParagraph"/>
        <w:numPr>
          <w:ilvl w:val="0"/>
          <w:numId w:val="1"/>
        </w:numPr>
        <w:spacing w:after="120" w:line="240" w:lineRule="auto"/>
        <w:rPr>
          <w:rFonts w:ascii="Arial" w:hAnsi="Arial" w:cs="Arial"/>
          <w:sz w:val="24"/>
          <w:szCs w:val="24"/>
        </w:rPr>
      </w:pPr>
      <w:r w:rsidRPr="000B1FEB">
        <w:rPr>
          <w:rFonts w:ascii="Arial" w:hAnsi="Arial" w:cs="Arial"/>
          <w:bCs/>
          <w:sz w:val="24"/>
          <w:szCs w:val="24"/>
        </w:rPr>
        <w:t xml:space="preserve">Cystic fibrosis: </w:t>
      </w:r>
      <w:r w:rsidRPr="000B1FEB">
        <w:rPr>
          <w:rFonts w:ascii="Arial" w:hAnsi="Arial" w:cs="Arial"/>
          <w:sz w:val="24"/>
          <w:szCs w:val="24"/>
        </w:rPr>
        <w:t xml:space="preserve">Cystic fibrosis is caused by a faulty recessive gene that is inherited from both parents. The faulty gene causes unusually sticky secretions of mucus that clog the airways, leading to chest infections. The gene also affects food digestion, leading to an inability to absorb nutrients through the intestines. Although cystic fibrosis is present from birth, the condition may not become apparent for many months or years, by which time it may already have caused damage to the lungs. </w:t>
      </w:r>
    </w:p>
    <w:p w14:paraId="2539F7DB" w14:textId="77777777" w:rsidR="000F7606" w:rsidRPr="000B1FEB" w:rsidRDefault="000F7606" w:rsidP="000F7606">
      <w:pPr>
        <w:pStyle w:val="ListParagraph"/>
        <w:numPr>
          <w:ilvl w:val="0"/>
          <w:numId w:val="1"/>
        </w:numPr>
        <w:spacing w:after="120" w:line="240" w:lineRule="auto"/>
        <w:rPr>
          <w:rFonts w:ascii="Arial" w:hAnsi="Arial" w:cs="Arial"/>
          <w:sz w:val="24"/>
          <w:szCs w:val="24"/>
        </w:rPr>
      </w:pPr>
      <w:r w:rsidRPr="000B1FEB">
        <w:rPr>
          <w:rFonts w:ascii="Arial" w:hAnsi="Arial" w:cs="Arial"/>
          <w:bCs/>
          <w:sz w:val="24"/>
          <w:szCs w:val="24"/>
        </w:rPr>
        <w:t xml:space="preserve">Sickle-cell disease: </w:t>
      </w:r>
      <w:r w:rsidRPr="000B1FEB">
        <w:rPr>
          <w:rFonts w:ascii="Arial" w:hAnsi="Arial" w:cs="Arial"/>
          <w:sz w:val="24"/>
          <w:szCs w:val="24"/>
        </w:rPr>
        <w:t xml:space="preserve">Sickle-cell disease is an inherited blood condition caused by abnormal haemoglobin. The red blood cells that contain the haemoglobin and are normally round, become sickle-or crescent-shaped and so clump together and lodge in the smaller blood vessels, preventing normal blood flow and resulting in anaemia (a lack of haemoglobin) and pain due to the blockage of blood flow. As well as having painful crises, children with Sickle-cell will feel lethargic and ill when the anaemia is severe and may also be more susceptible to coughs, colds, sore throats and other infectious diseases. In the UK, Sickle-cell is most common in children of African or Caribbean descent, but may also occur in children of Indian, Pakistani, Middle Eastern </w:t>
      </w:r>
      <w:r w:rsidRPr="000B1FEB">
        <w:rPr>
          <w:rFonts w:ascii="Arial" w:hAnsi="Arial" w:cs="Arial"/>
          <w:sz w:val="24"/>
          <w:szCs w:val="24"/>
        </w:rPr>
        <w:lastRenderedPageBreak/>
        <w:t xml:space="preserve">and East Mediterranean descent. It affects about 1 in 2,500 babies born each year. </w:t>
      </w:r>
    </w:p>
    <w:p w14:paraId="3BE6529E" w14:textId="77777777" w:rsidR="000F7606" w:rsidRPr="000B1FEB" w:rsidRDefault="000F7606" w:rsidP="000F7606">
      <w:pPr>
        <w:pStyle w:val="ListParagraph"/>
        <w:numPr>
          <w:ilvl w:val="0"/>
          <w:numId w:val="1"/>
        </w:numPr>
        <w:spacing w:after="120" w:line="240" w:lineRule="auto"/>
        <w:rPr>
          <w:rFonts w:ascii="Arial" w:hAnsi="Arial" w:cs="Arial"/>
          <w:sz w:val="24"/>
          <w:szCs w:val="24"/>
        </w:rPr>
      </w:pPr>
      <w:r w:rsidRPr="000B1FEB">
        <w:rPr>
          <w:rFonts w:ascii="Arial" w:hAnsi="Arial" w:cs="Arial"/>
          <w:bCs/>
          <w:sz w:val="24"/>
          <w:szCs w:val="24"/>
        </w:rPr>
        <w:t xml:space="preserve">Epilepsy: </w:t>
      </w:r>
      <w:r w:rsidRPr="000B1FEB">
        <w:rPr>
          <w:rFonts w:ascii="Arial" w:hAnsi="Arial" w:cs="Arial"/>
          <w:sz w:val="24"/>
          <w:szCs w:val="24"/>
        </w:rPr>
        <w:t>Epilepsy is a condition of the nervous system affecting 150,000 children in the UK. A person with epilepsy experiences seizures or fits and so historically has sometimes been seen as a mental illness; it is not. Children with epilepsy, who have effective management and treatment for their condition, can be treated in the same way as any other child and take part in all activities unless otherwise advised by the child’s parents or doctor.</w:t>
      </w:r>
    </w:p>
    <w:p w14:paraId="0DFC4ADF" w14:textId="4B00DC74" w:rsidR="000F7606" w:rsidRDefault="000F7606" w:rsidP="000F7606">
      <w:pPr>
        <w:spacing w:after="120" w:line="240" w:lineRule="auto"/>
        <w:rPr>
          <w:rFonts w:ascii="Arial" w:hAnsi="Arial" w:cs="Arial"/>
          <w:sz w:val="24"/>
          <w:szCs w:val="24"/>
        </w:rPr>
      </w:pPr>
    </w:p>
    <w:p w14:paraId="7B162C3F" w14:textId="1CAC727D" w:rsidR="004948DD" w:rsidRDefault="004948DD" w:rsidP="000F7606">
      <w:pPr>
        <w:spacing w:after="120" w:line="240" w:lineRule="auto"/>
        <w:rPr>
          <w:rFonts w:ascii="Arial" w:hAnsi="Arial" w:cs="Arial"/>
          <w:sz w:val="24"/>
          <w:szCs w:val="24"/>
        </w:rPr>
      </w:pPr>
    </w:p>
    <w:p w14:paraId="00B9D6EF" w14:textId="77777777" w:rsidR="004948DD" w:rsidRPr="00A81A07" w:rsidRDefault="004948DD" w:rsidP="004948DD">
      <w:pPr>
        <w:spacing w:after="120" w:line="240" w:lineRule="auto"/>
        <w:rPr>
          <w:rFonts w:ascii="Arial" w:hAnsi="Arial" w:cs="Arial"/>
          <w:b/>
          <w:bCs/>
          <w:sz w:val="24"/>
          <w:szCs w:val="24"/>
        </w:rPr>
      </w:pPr>
      <w:bookmarkStart w:id="0" w:name="_Hlk72917629"/>
      <w:bookmarkStart w:id="1" w:name="_Hlk112839588"/>
      <w:r w:rsidRPr="000B1FEB">
        <w:rPr>
          <w:rFonts w:ascii="Arial" w:hAnsi="Arial" w:cs="Arial"/>
          <w:b/>
          <w:bCs/>
          <w:sz w:val="24"/>
          <w:szCs w:val="24"/>
        </w:rPr>
        <w:t>Common infectious childhood illnesses</w:t>
      </w:r>
      <w:bookmarkEnd w:id="0"/>
      <w:bookmarkEnd w:id="1"/>
    </w:p>
    <w:tbl>
      <w:tblPr>
        <w:tblStyle w:val="TableGrid"/>
        <w:tblW w:w="9209" w:type="dxa"/>
        <w:tblLook w:val="04A0" w:firstRow="1" w:lastRow="0" w:firstColumn="1" w:lastColumn="0" w:noHBand="0" w:noVBand="1"/>
      </w:tblPr>
      <w:tblGrid>
        <w:gridCol w:w="1682"/>
        <w:gridCol w:w="2418"/>
        <w:gridCol w:w="3013"/>
        <w:gridCol w:w="2096"/>
      </w:tblGrid>
      <w:tr w:rsidR="004948DD" w:rsidRPr="000B1FEB" w14:paraId="12184F13" w14:textId="77777777" w:rsidTr="00911B68">
        <w:tc>
          <w:tcPr>
            <w:tcW w:w="1696" w:type="dxa"/>
          </w:tcPr>
          <w:p w14:paraId="74774D89"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Disease and cause</w:t>
            </w:r>
          </w:p>
        </w:tc>
        <w:tc>
          <w:tcPr>
            <w:tcW w:w="2268" w:type="dxa"/>
          </w:tcPr>
          <w:p w14:paraId="1FE68240"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Incubation/Exclusion period</w:t>
            </w:r>
          </w:p>
        </w:tc>
        <w:tc>
          <w:tcPr>
            <w:tcW w:w="3119" w:type="dxa"/>
          </w:tcPr>
          <w:p w14:paraId="691F8B78"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Signs and symptoms</w:t>
            </w:r>
          </w:p>
        </w:tc>
        <w:tc>
          <w:tcPr>
            <w:tcW w:w="2126" w:type="dxa"/>
          </w:tcPr>
          <w:p w14:paraId="7A365999"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Treatment</w:t>
            </w:r>
          </w:p>
        </w:tc>
      </w:tr>
      <w:tr w:rsidR="004948DD" w:rsidRPr="000B1FEB" w14:paraId="792941E6" w14:textId="77777777" w:rsidTr="00911B68">
        <w:tc>
          <w:tcPr>
            <w:tcW w:w="1696" w:type="dxa"/>
          </w:tcPr>
          <w:p w14:paraId="499E558E" w14:textId="77777777" w:rsidR="004948DD" w:rsidRPr="000B1FEB" w:rsidRDefault="004948DD" w:rsidP="00911B68">
            <w:pPr>
              <w:pStyle w:val="CTB01BT01Bodytext1"/>
              <w:spacing w:line="240" w:lineRule="auto"/>
              <w:rPr>
                <w:rFonts w:ascii="Arial" w:hAnsi="Arial" w:cs="Arial"/>
                <w:color w:val="auto"/>
                <w:sz w:val="24"/>
                <w:szCs w:val="24"/>
                <w:lang w:val="en-GB"/>
              </w:rPr>
            </w:pPr>
            <w:r w:rsidRPr="000B1FEB">
              <w:rPr>
                <w:rFonts w:ascii="Arial" w:hAnsi="Arial" w:cs="Arial"/>
                <w:color w:val="auto"/>
                <w:sz w:val="24"/>
                <w:szCs w:val="24"/>
                <w:lang w:val="en-GB"/>
              </w:rPr>
              <w:t>Common cold</w:t>
            </w:r>
          </w:p>
          <w:p w14:paraId="5A4517A1"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Virus</w:t>
            </w:r>
          </w:p>
        </w:tc>
        <w:tc>
          <w:tcPr>
            <w:tcW w:w="2268" w:type="dxa"/>
          </w:tcPr>
          <w:p w14:paraId="27A85CAC"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1–3 days</w:t>
            </w:r>
          </w:p>
        </w:tc>
        <w:tc>
          <w:tcPr>
            <w:tcW w:w="3119" w:type="dxa"/>
          </w:tcPr>
          <w:p w14:paraId="00F7FC85"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Sneezing, sore throat, running nose, headache, slight fever, irritable, partial deafness</w:t>
            </w:r>
          </w:p>
        </w:tc>
        <w:tc>
          <w:tcPr>
            <w:tcW w:w="2126" w:type="dxa"/>
          </w:tcPr>
          <w:p w14:paraId="449F191D" w14:textId="77777777" w:rsidR="004948DD" w:rsidRPr="000B1FEB" w:rsidRDefault="004948DD" w:rsidP="00911B68">
            <w:pPr>
              <w:pStyle w:val="CTB01BT01Bodytext1"/>
              <w:spacing w:line="240" w:lineRule="auto"/>
              <w:rPr>
                <w:rFonts w:ascii="Arial" w:hAnsi="Arial" w:cs="Arial"/>
                <w:color w:val="auto"/>
                <w:sz w:val="24"/>
                <w:szCs w:val="24"/>
                <w:lang w:val="en-GB"/>
              </w:rPr>
            </w:pPr>
            <w:r w:rsidRPr="000B1FEB">
              <w:rPr>
                <w:rFonts w:ascii="Arial" w:hAnsi="Arial" w:cs="Arial"/>
                <w:color w:val="auto"/>
                <w:sz w:val="24"/>
                <w:szCs w:val="24"/>
                <w:lang w:val="en-GB"/>
              </w:rPr>
              <w:t>Treat symptoms.</w:t>
            </w:r>
          </w:p>
          <w:p w14:paraId="26933A1D"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Apply a barrier cream to nostrils</w:t>
            </w:r>
          </w:p>
        </w:tc>
      </w:tr>
      <w:tr w:rsidR="004948DD" w:rsidRPr="000B1FEB" w14:paraId="0BB7B969" w14:textId="77777777" w:rsidTr="00911B68">
        <w:tc>
          <w:tcPr>
            <w:tcW w:w="1696" w:type="dxa"/>
          </w:tcPr>
          <w:p w14:paraId="3ED20CD1" w14:textId="77777777" w:rsidR="004948DD" w:rsidRPr="000B1FEB" w:rsidRDefault="004948DD" w:rsidP="00911B68">
            <w:pPr>
              <w:pStyle w:val="CTB01BT01Bodytext1"/>
              <w:spacing w:line="240" w:lineRule="auto"/>
              <w:rPr>
                <w:rFonts w:ascii="Arial" w:hAnsi="Arial" w:cs="Arial"/>
                <w:color w:val="auto"/>
                <w:sz w:val="24"/>
                <w:szCs w:val="24"/>
                <w:lang w:val="en-GB"/>
              </w:rPr>
            </w:pPr>
            <w:r w:rsidRPr="000B1FEB">
              <w:rPr>
                <w:rFonts w:ascii="Arial" w:hAnsi="Arial" w:cs="Arial"/>
                <w:color w:val="auto"/>
                <w:sz w:val="24"/>
                <w:szCs w:val="24"/>
                <w:lang w:val="en-GB"/>
              </w:rPr>
              <w:t>Chickenpox</w:t>
            </w:r>
          </w:p>
          <w:p w14:paraId="1B4275EF"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Virus</w:t>
            </w:r>
          </w:p>
        </w:tc>
        <w:tc>
          <w:tcPr>
            <w:tcW w:w="2268" w:type="dxa"/>
          </w:tcPr>
          <w:p w14:paraId="5FB31AA7"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 xml:space="preserve">10–14 days to develop. </w:t>
            </w:r>
          </w:p>
          <w:p w14:paraId="751267C9"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Exclude for 5 days from the onset of the rash.</w:t>
            </w:r>
          </w:p>
        </w:tc>
        <w:tc>
          <w:tcPr>
            <w:tcW w:w="3119" w:type="dxa"/>
          </w:tcPr>
          <w:p w14:paraId="5E24722B"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Slight fever, itchy rash, often with severe headache</w:t>
            </w:r>
          </w:p>
          <w:p w14:paraId="373CC80B"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Red spots with white centre on trunk and limbs at first; blisters and pustules</w:t>
            </w:r>
          </w:p>
        </w:tc>
        <w:tc>
          <w:tcPr>
            <w:tcW w:w="2126" w:type="dxa"/>
          </w:tcPr>
          <w:p w14:paraId="31D32178"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Rest, fluids, cooling cram on rash, cut child’s nails to prevent secondary infection</w:t>
            </w:r>
          </w:p>
        </w:tc>
      </w:tr>
      <w:tr w:rsidR="004948DD" w:rsidRPr="000B1FEB" w14:paraId="5E59117F" w14:textId="77777777" w:rsidTr="00911B68">
        <w:tc>
          <w:tcPr>
            <w:tcW w:w="1696" w:type="dxa"/>
          </w:tcPr>
          <w:p w14:paraId="2250A931" w14:textId="77777777" w:rsidR="004948DD" w:rsidRPr="000B1FEB" w:rsidRDefault="004948DD" w:rsidP="00911B68">
            <w:pPr>
              <w:pStyle w:val="CTB01BT01Bodytext1"/>
              <w:spacing w:line="240" w:lineRule="auto"/>
              <w:rPr>
                <w:rFonts w:ascii="Arial" w:hAnsi="Arial" w:cs="Arial"/>
                <w:color w:val="auto"/>
                <w:sz w:val="24"/>
                <w:szCs w:val="24"/>
                <w:lang w:val="en-GB"/>
              </w:rPr>
            </w:pPr>
            <w:r w:rsidRPr="000B1FEB">
              <w:rPr>
                <w:rFonts w:ascii="Arial" w:hAnsi="Arial" w:cs="Arial"/>
                <w:color w:val="auto"/>
                <w:sz w:val="24"/>
                <w:szCs w:val="24"/>
                <w:lang w:val="en-GB"/>
              </w:rPr>
              <w:t>Food poisoning</w:t>
            </w:r>
          </w:p>
          <w:p w14:paraId="0B77918C"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Bacteria or virus</w:t>
            </w:r>
          </w:p>
        </w:tc>
        <w:tc>
          <w:tcPr>
            <w:tcW w:w="2268" w:type="dxa"/>
          </w:tcPr>
          <w:p w14:paraId="05176C0C"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1½ to 36 hours</w:t>
            </w:r>
          </w:p>
        </w:tc>
        <w:tc>
          <w:tcPr>
            <w:tcW w:w="3119" w:type="dxa"/>
          </w:tcPr>
          <w:p w14:paraId="6E98C712"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Vomiting, diarrhoea, abdominal pain</w:t>
            </w:r>
          </w:p>
        </w:tc>
        <w:tc>
          <w:tcPr>
            <w:tcW w:w="2126" w:type="dxa"/>
          </w:tcPr>
          <w:p w14:paraId="7619FF03"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Fluids only for 24 hours; medical aid if no better</w:t>
            </w:r>
          </w:p>
        </w:tc>
      </w:tr>
      <w:tr w:rsidR="004948DD" w:rsidRPr="000B1FEB" w14:paraId="77CA4B74" w14:textId="77777777" w:rsidTr="00911B68">
        <w:tc>
          <w:tcPr>
            <w:tcW w:w="1696" w:type="dxa"/>
          </w:tcPr>
          <w:p w14:paraId="1A011546" w14:textId="77777777" w:rsidR="004948DD" w:rsidRPr="000B1FEB" w:rsidRDefault="004948DD" w:rsidP="00911B68">
            <w:pPr>
              <w:pStyle w:val="CTB01BT01Bodytext1"/>
              <w:spacing w:line="240" w:lineRule="auto"/>
              <w:rPr>
                <w:rFonts w:ascii="Arial" w:hAnsi="Arial" w:cs="Arial"/>
                <w:color w:val="auto"/>
                <w:sz w:val="24"/>
                <w:szCs w:val="24"/>
                <w:lang w:val="en-GB"/>
              </w:rPr>
            </w:pPr>
            <w:r w:rsidRPr="000B1FEB">
              <w:rPr>
                <w:rFonts w:ascii="Arial" w:hAnsi="Arial" w:cs="Arial"/>
                <w:color w:val="auto"/>
                <w:sz w:val="24"/>
                <w:szCs w:val="24"/>
                <w:lang w:val="en-GB"/>
              </w:rPr>
              <w:t>Gastro-enteritis</w:t>
            </w:r>
          </w:p>
          <w:p w14:paraId="3699D3A1"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Bacteria or virus</w:t>
            </w:r>
          </w:p>
        </w:tc>
        <w:tc>
          <w:tcPr>
            <w:tcW w:w="2268" w:type="dxa"/>
          </w:tcPr>
          <w:p w14:paraId="46589FFB" w14:textId="77777777" w:rsidR="004948DD" w:rsidRPr="000B1FEB" w:rsidRDefault="004948DD" w:rsidP="00911B68">
            <w:pPr>
              <w:pStyle w:val="CTB01BT01Bodytext1"/>
              <w:keepNext/>
              <w:keepLines/>
              <w:spacing w:line="240" w:lineRule="auto"/>
              <w:outlineLvl w:val="6"/>
              <w:rPr>
                <w:rFonts w:ascii="Arial" w:hAnsi="Arial" w:cs="Arial"/>
                <w:color w:val="auto"/>
                <w:sz w:val="24"/>
                <w:szCs w:val="24"/>
                <w:lang w:val="en-GB"/>
              </w:rPr>
            </w:pPr>
            <w:r w:rsidRPr="000B1FEB">
              <w:rPr>
                <w:rFonts w:ascii="Arial" w:hAnsi="Arial" w:cs="Arial"/>
                <w:color w:val="auto"/>
                <w:sz w:val="24"/>
                <w:szCs w:val="24"/>
                <w:lang w:val="en-GB"/>
              </w:rPr>
              <w:t>Bacterial: 7–14 days</w:t>
            </w:r>
          </w:p>
          <w:p w14:paraId="50FE2784" w14:textId="77777777" w:rsidR="004948DD" w:rsidRPr="000B1FEB" w:rsidRDefault="004948DD" w:rsidP="00911B68">
            <w:pPr>
              <w:pStyle w:val="CTB01BT01Bodytext1"/>
              <w:keepNext/>
              <w:keepLines/>
              <w:spacing w:line="240" w:lineRule="auto"/>
              <w:outlineLvl w:val="6"/>
              <w:rPr>
                <w:rFonts w:ascii="Arial" w:hAnsi="Arial" w:cs="Arial"/>
                <w:color w:val="auto"/>
                <w:sz w:val="24"/>
                <w:szCs w:val="24"/>
                <w:lang w:val="en-GB"/>
              </w:rPr>
            </w:pPr>
            <w:r w:rsidRPr="000B1FEB">
              <w:rPr>
                <w:rFonts w:ascii="Arial" w:hAnsi="Arial" w:cs="Arial"/>
                <w:color w:val="auto"/>
                <w:sz w:val="24"/>
                <w:szCs w:val="24"/>
                <w:lang w:val="en-GB"/>
              </w:rPr>
              <w:t>Viral: 1½ to 36 hours</w:t>
            </w:r>
          </w:p>
          <w:p w14:paraId="413EC9CC"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Exclusion: 48 hours after the last episode of diarrhoea or vomiting.</w:t>
            </w:r>
          </w:p>
        </w:tc>
        <w:tc>
          <w:tcPr>
            <w:tcW w:w="3119" w:type="dxa"/>
          </w:tcPr>
          <w:p w14:paraId="20D05E98"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Vomiting, diarrhoea, signs of dehydration</w:t>
            </w:r>
          </w:p>
        </w:tc>
        <w:tc>
          <w:tcPr>
            <w:tcW w:w="2126" w:type="dxa"/>
          </w:tcPr>
          <w:p w14:paraId="74C9ABA2"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Replace fluids; medical aid urgently in the case of dehydration</w:t>
            </w:r>
          </w:p>
        </w:tc>
      </w:tr>
      <w:tr w:rsidR="004948DD" w:rsidRPr="000B1FEB" w14:paraId="07F8BFA7" w14:textId="77777777" w:rsidTr="00911B68">
        <w:tc>
          <w:tcPr>
            <w:tcW w:w="1696" w:type="dxa"/>
          </w:tcPr>
          <w:p w14:paraId="26BD86AC" w14:textId="77777777" w:rsidR="004948DD" w:rsidRPr="000B1FEB" w:rsidRDefault="004948DD" w:rsidP="00911B68">
            <w:pPr>
              <w:pStyle w:val="CTB01BT01Bodytext1"/>
              <w:spacing w:line="240" w:lineRule="auto"/>
              <w:rPr>
                <w:rFonts w:ascii="Arial" w:hAnsi="Arial" w:cs="Arial"/>
                <w:color w:val="auto"/>
                <w:sz w:val="24"/>
                <w:szCs w:val="24"/>
                <w:lang w:val="en-GB"/>
              </w:rPr>
            </w:pPr>
            <w:r w:rsidRPr="000B1FEB">
              <w:rPr>
                <w:rFonts w:ascii="Arial" w:hAnsi="Arial" w:cs="Arial"/>
                <w:color w:val="auto"/>
                <w:sz w:val="24"/>
                <w:szCs w:val="24"/>
                <w:lang w:val="en-GB"/>
              </w:rPr>
              <w:t>Measles</w:t>
            </w:r>
          </w:p>
          <w:p w14:paraId="4FE42CC1"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Virus</w:t>
            </w:r>
          </w:p>
        </w:tc>
        <w:tc>
          <w:tcPr>
            <w:tcW w:w="2268" w:type="dxa"/>
          </w:tcPr>
          <w:p w14:paraId="7F95D1C2" w14:textId="77777777" w:rsidR="004948DD" w:rsidRPr="000B1FEB" w:rsidRDefault="004948DD" w:rsidP="00911B68">
            <w:pPr>
              <w:pStyle w:val="CTB01BT01Bodytext1"/>
              <w:keepNext/>
              <w:keepLines/>
              <w:spacing w:line="240" w:lineRule="auto"/>
              <w:outlineLvl w:val="6"/>
              <w:rPr>
                <w:rFonts w:ascii="Arial" w:hAnsi="Arial" w:cs="Arial"/>
                <w:color w:val="auto"/>
                <w:sz w:val="24"/>
                <w:szCs w:val="24"/>
                <w:lang w:val="en-GB"/>
              </w:rPr>
            </w:pPr>
            <w:r w:rsidRPr="000B1FEB">
              <w:rPr>
                <w:rFonts w:ascii="Arial" w:hAnsi="Arial" w:cs="Arial"/>
                <w:color w:val="auto"/>
                <w:sz w:val="24"/>
                <w:szCs w:val="24"/>
                <w:lang w:val="en-GB"/>
              </w:rPr>
              <w:t>7–15 days</w:t>
            </w:r>
          </w:p>
          <w:p w14:paraId="319D0407"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Exclusion: 4 days from the onset of the rash.</w:t>
            </w:r>
          </w:p>
        </w:tc>
        <w:tc>
          <w:tcPr>
            <w:tcW w:w="3119" w:type="dxa"/>
          </w:tcPr>
          <w:p w14:paraId="6FB04074"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High fever, fretful, heavy cold; later cough, spots inside mouth. Day 4: blotchy rash starts on face and spreads down to body</w:t>
            </w:r>
          </w:p>
        </w:tc>
        <w:tc>
          <w:tcPr>
            <w:tcW w:w="2126" w:type="dxa"/>
          </w:tcPr>
          <w:p w14:paraId="57A5A005"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Rest, fluids, tepid sponging. Shade room if dislikes bright light</w:t>
            </w:r>
          </w:p>
        </w:tc>
      </w:tr>
      <w:tr w:rsidR="004948DD" w:rsidRPr="000B1FEB" w14:paraId="1D94312F" w14:textId="77777777" w:rsidTr="00911B68">
        <w:tc>
          <w:tcPr>
            <w:tcW w:w="1696" w:type="dxa"/>
          </w:tcPr>
          <w:p w14:paraId="6CDD295B" w14:textId="77777777" w:rsidR="004948DD" w:rsidRPr="000B1FEB" w:rsidRDefault="004948DD" w:rsidP="00911B68">
            <w:pPr>
              <w:pStyle w:val="CTB01BT01Bodytext1"/>
              <w:spacing w:line="240" w:lineRule="auto"/>
              <w:rPr>
                <w:rFonts w:ascii="Arial" w:hAnsi="Arial" w:cs="Arial"/>
                <w:color w:val="auto"/>
                <w:sz w:val="24"/>
                <w:szCs w:val="24"/>
                <w:lang w:val="en-GB"/>
              </w:rPr>
            </w:pPr>
            <w:r w:rsidRPr="000B1FEB">
              <w:rPr>
                <w:rFonts w:ascii="Arial" w:hAnsi="Arial" w:cs="Arial"/>
                <w:color w:val="auto"/>
                <w:sz w:val="24"/>
                <w:szCs w:val="24"/>
                <w:lang w:val="en-GB"/>
              </w:rPr>
              <w:lastRenderedPageBreak/>
              <w:t>Meningitis</w:t>
            </w:r>
          </w:p>
          <w:p w14:paraId="7B887108"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Bacteria or virus</w:t>
            </w:r>
          </w:p>
        </w:tc>
        <w:tc>
          <w:tcPr>
            <w:tcW w:w="2268" w:type="dxa"/>
          </w:tcPr>
          <w:p w14:paraId="3C652C2E" w14:textId="77777777" w:rsidR="004948DD" w:rsidRPr="000B1FEB" w:rsidRDefault="004948DD" w:rsidP="00911B68">
            <w:pPr>
              <w:pStyle w:val="CTB01BT01Bodytext1"/>
              <w:keepNext/>
              <w:keepLines/>
              <w:spacing w:line="240" w:lineRule="auto"/>
              <w:outlineLvl w:val="6"/>
              <w:rPr>
                <w:rFonts w:ascii="Arial" w:hAnsi="Arial" w:cs="Arial"/>
                <w:color w:val="auto"/>
                <w:sz w:val="24"/>
                <w:szCs w:val="24"/>
                <w:lang w:val="en-GB"/>
              </w:rPr>
            </w:pPr>
            <w:r w:rsidRPr="000B1FEB">
              <w:rPr>
                <w:rFonts w:ascii="Arial" w:hAnsi="Arial" w:cs="Arial"/>
                <w:color w:val="auto"/>
                <w:sz w:val="24"/>
                <w:szCs w:val="24"/>
                <w:lang w:val="en-GB"/>
              </w:rPr>
              <w:t>Variable</w:t>
            </w:r>
          </w:p>
          <w:p w14:paraId="105CA653" w14:textId="77777777" w:rsidR="004948DD" w:rsidRPr="000B1FEB" w:rsidRDefault="004948DD" w:rsidP="00911B68">
            <w:pPr>
              <w:pStyle w:val="CTB01BT01Bodytext1"/>
              <w:keepNext/>
              <w:keepLines/>
              <w:spacing w:line="240" w:lineRule="auto"/>
              <w:outlineLvl w:val="6"/>
              <w:rPr>
                <w:rFonts w:ascii="Arial" w:hAnsi="Arial" w:cs="Arial"/>
                <w:color w:val="auto"/>
                <w:sz w:val="24"/>
                <w:szCs w:val="24"/>
                <w:lang w:val="en-GB"/>
              </w:rPr>
            </w:pPr>
            <w:r w:rsidRPr="000B1FEB">
              <w:rPr>
                <w:rFonts w:ascii="Arial" w:hAnsi="Arial" w:cs="Arial"/>
                <w:color w:val="auto"/>
                <w:sz w:val="24"/>
                <w:szCs w:val="24"/>
                <w:lang w:val="en-GB"/>
              </w:rPr>
              <w:t>Usually 2–10 days</w:t>
            </w:r>
          </w:p>
          <w:p w14:paraId="4D6567D0"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Exclusion: Until fully recovered.</w:t>
            </w:r>
          </w:p>
        </w:tc>
        <w:tc>
          <w:tcPr>
            <w:tcW w:w="3119" w:type="dxa"/>
          </w:tcPr>
          <w:p w14:paraId="464C701A"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Fever, headache, drowsiness, confusion, dislike of bright light, arching of neck. Can have small red spots or bruises</w:t>
            </w:r>
          </w:p>
        </w:tc>
        <w:tc>
          <w:tcPr>
            <w:tcW w:w="2126" w:type="dxa"/>
          </w:tcPr>
          <w:p w14:paraId="7D75719B"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Take to hospital, antibiotics and observation</w:t>
            </w:r>
          </w:p>
        </w:tc>
      </w:tr>
      <w:tr w:rsidR="004948DD" w:rsidRPr="000B1FEB" w14:paraId="3D0DC101" w14:textId="77777777" w:rsidTr="00911B68">
        <w:tc>
          <w:tcPr>
            <w:tcW w:w="1696" w:type="dxa"/>
          </w:tcPr>
          <w:p w14:paraId="592FA4E0" w14:textId="77777777" w:rsidR="004948DD" w:rsidRPr="000B1FEB" w:rsidRDefault="004948DD" w:rsidP="00911B68">
            <w:pPr>
              <w:pStyle w:val="CTB01BT01Bodytext1"/>
              <w:spacing w:line="240" w:lineRule="auto"/>
              <w:rPr>
                <w:rFonts w:ascii="Arial" w:hAnsi="Arial" w:cs="Arial"/>
                <w:color w:val="auto"/>
                <w:sz w:val="24"/>
                <w:szCs w:val="24"/>
                <w:lang w:val="en-GB"/>
              </w:rPr>
            </w:pPr>
            <w:r w:rsidRPr="000B1FEB">
              <w:rPr>
                <w:rFonts w:ascii="Arial" w:hAnsi="Arial" w:cs="Arial"/>
                <w:color w:val="auto"/>
                <w:sz w:val="24"/>
                <w:szCs w:val="24"/>
                <w:lang w:val="en-GB"/>
              </w:rPr>
              <w:t>Mumps</w:t>
            </w:r>
          </w:p>
          <w:p w14:paraId="13D5062F"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Virus</w:t>
            </w:r>
          </w:p>
        </w:tc>
        <w:tc>
          <w:tcPr>
            <w:tcW w:w="2268" w:type="dxa"/>
          </w:tcPr>
          <w:p w14:paraId="6E5B069F" w14:textId="77777777" w:rsidR="004948DD" w:rsidRPr="000B1FEB" w:rsidRDefault="004948DD" w:rsidP="00911B68">
            <w:pPr>
              <w:pStyle w:val="CTB01BT01Bodytext1"/>
              <w:keepNext/>
              <w:keepLines/>
              <w:spacing w:line="240" w:lineRule="auto"/>
              <w:outlineLvl w:val="6"/>
              <w:rPr>
                <w:rFonts w:ascii="Arial" w:hAnsi="Arial" w:cs="Arial"/>
                <w:color w:val="auto"/>
                <w:sz w:val="24"/>
                <w:szCs w:val="24"/>
                <w:lang w:val="en-GB"/>
              </w:rPr>
            </w:pPr>
            <w:r w:rsidRPr="000B1FEB">
              <w:rPr>
                <w:rFonts w:ascii="Arial" w:hAnsi="Arial" w:cs="Arial"/>
                <w:color w:val="auto"/>
                <w:sz w:val="24"/>
                <w:szCs w:val="24"/>
                <w:lang w:val="en-GB"/>
              </w:rPr>
              <w:t>14–21days.</w:t>
            </w:r>
          </w:p>
          <w:p w14:paraId="351A01E4"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Exclusion period: 5 days after the onset of swollen glands.</w:t>
            </w:r>
          </w:p>
        </w:tc>
        <w:tc>
          <w:tcPr>
            <w:tcW w:w="3119" w:type="dxa"/>
          </w:tcPr>
          <w:p w14:paraId="41C752AF"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 xml:space="preserve">Pain, swelling of jaw in front of ears, fever, pain when eating and drinking, </w:t>
            </w:r>
          </w:p>
        </w:tc>
        <w:tc>
          <w:tcPr>
            <w:tcW w:w="2126" w:type="dxa"/>
          </w:tcPr>
          <w:p w14:paraId="16BBC8A9"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Fluids: give via straw</w:t>
            </w:r>
          </w:p>
        </w:tc>
      </w:tr>
      <w:tr w:rsidR="004948DD" w:rsidRPr="000B1FEB" w14:paraId="325E8A94" w14:textId="77777777" w:rsidTr="00911B68">
        <w:tc>
          <w:tcPr>
            <w:tcW w:w="1696" w:type="dxa"/>
          </w:tcPr>
          <w:p w14:paraId="53B21363" w14:textId="77777777" w:rsidR="004948DD" w:rsidRPr="000B1FEB" w:rsidRDefault="004948DD" w:rsidP="00911B68">
            <w:pPr>
              <w:pStyle w:val="CTB01BT01Bodytext1"/>
              <w:spacing w:line="240" w:lineRule="auto"/>
              <w:rPr>
                <w:rFonts w:ascii="Arial" w:hAnsi="Arial" w:cs="Arial"/>
                <w:color w:val="auto"/>
                <w:sz w:val="24"/>
                <w:szCs w:val="24"/>
                <w:lang w:val="en-GB"/>
              </w:rPr>
            </w:pPr>
            <w:r w:rsidRPr="000B1FEB">
              <w:rPr>
                <w:rFonts w:ascii="Arial" w:hAnsi="Arial" w:cs="Arial"/>
                <w:color w:val="auto"/>
                <w:sz w:val="24"/>
                <w:szCs w:val="24"/>
                <w:lang w:val="en-GB"/>
              </w:rPr>
              <w:t>Pertussis</w:t>
            </w:r>
          </w:p>
          <w:p w14:paraId="719E9680" w14:textId="77777777" w:rsidR="004948DD" w:rsidRPr="000B1FEB" w:rsidRDefault="004948DD" w:rsidP="00911B68">
            <w:pPr>
              <w:pStyle w:val="CTB01BT01Bodytext1"/>
              <w:spacing w:line="240" w:lineRule="auto"/>
              <w:rPr>
                <w:rFonts w:ascii="Arial" w:hAnsi="Arial" w:cs="Arial"/>
                <w:color w:val="auto"/>
                <w:sz w:val="24"/>
                <w:szCs w:val="24"/>
                <w:lang w:val="en-GB"/>
              </w:rPr>
            </w:pPr>
            <w:r w:rsidRPr="000B1FEB">
              <w:rPr>
                <w:rFonts w:ascii="Arial" w:hAnsi="Arial" w:cs="Arial"/>
                <w:color w:val="auto"/>
                <w:sz w:val="24"/>
                <w:szCs w:val="24"/>
                <w:lang w:val="en-GB"/>
              </w:rPr>
              <w:t>(</w:t>
            </w:r>
            <w:proofErr w:type="gramStart"/>
            <w:r w:rsidRPr="000B1FEB">
              <w:rPr>
                <w:rFonts w:ascii="Arial" w:hAnsi="Arial" w:cs="Arial"/>
                <w:color w:val="auto"/>
                <w:sz w:val="24"/>
                <w:szCs w:val="24"/>
                <w:lang w:val="en-GB"/>
              </w:rPr>
              <w:t>whooping</w:t>
            </w:r>
            <w:proofErr w:type="gramEnd"/>
            <w:r w:rsidRPr="000B1FEB">
              <w:rPr>
                <w:rFonts w:ascii="Arial" w:hAnsi="Arial" w:cs="Arial"/>
                <w:color w:val="auto"/>
                <w:sz w:val="24"/>
                <w:szCs w:val="24"/>
                <w:lang w:val="en-GB"/>
              </w:rPr>
              <w:t xml:space="preserve"> cough)</w:t>
            </w:r>
          </w:p>
          <w:p w14:paraId="6C00AF06"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Bacteria</w:t>
            </w:r>
          </w:p>
        </w:tc>
        <w:tc>
          <w:tcPr>
            <w:tcW w:w="2268" w:type="dxa"/>
          </w:tcPr>
          <w:p w14:paraId="71476333" w14:textId="77777777" w:rsidR="004948DD" w:rsidRPr="000B1FEB" w:rsidRDefault="004948DD" w:rsidP="00911B68">
            <w:pPr>
              <w:pStyle w:val="CTB01BT01Bodytext1"/>
              <w:keepNext/>
              <w:keepLines/>
              <w:spacing w:line="240" w:lineRule="auto"/>
              <w:outlineLvl w:val="6"/>
              <w:rPr>
                <w:rFonts w:ascii="Arial" w:hAnsi="Arial" w:cs="Arial"/>
                <w:color w:val="auto"/>
                <w:sz w:val="24"/>
                <w:szCs w:val="24"/>
                <w:lang w:val="en-GB"/>
              </w:rPr>
            </w:pPr>
            <w:r w:rsidRPr="000B1FEB">
              <w:rPr>
                <w:rFonts w:ascii="Arial" w:hAnsi="Arial" w:cs="Arial"/>
                <w:color w:val="auto"/>
                <w:sz w:val="24"/>
                <w:szCs w:val="24"/>
                <w:lang w:val="en-GB"/>
              </w:rPr>
              <w:t>7–21 days</w:t>
            </w:r>
          </w:p>
          <w:p w14:paraId="5AB59CA1"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Exclusion: 5 days from start of antibiotic treatment.</w:t>
            </w:r>
          </w:p>
        </w:tc>
        <w:tc>
          <w:tcPr>
            <w:tcW w:w="3119" w:type="dxa"/>
          </w:tcPr>
          <w:p w14:paraId="0446A522"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Starts with a cold, slight cough, mild fever Spasmodic cough with whoop sound, vomiting</w:t>
            </w:r>
          </w:p>
        </w:tc>
        <w:tc>
          <w:tcPr>
            <w:tcW w:w="2126" w:type="dxa"/>
          </w:tcPr>
          <w:p w14:paraId="2539B842"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Rest and reassurance; feed after coughing attack; support during attack</w:t>
            </w:r>
          </w:p>
        </w:tc>
      </w:tr>
      <w:tr w:rsidR="004948DD" w:rsidRPr="000B1FEB" w14:paraId="05ADC77B" w14:textId="77777777" w:rsidTr="00911B68">
        <w:tc>
          <w:tcPr>
            <w:tcW w:w="1696" w:type="dxa"/>
          </w:tcPr>
          <w:p w14:paraId="6FF717FE" w14:textId="77777777" w:rsidR="004948DD" w:rsidRPr="000B1FEB" w:rsidRDefault="004948DD" w:rsidP="00911B68">
            <w:pPr>
              <w:pStyle w:val="CTB01BT01Bodytext1"/>
              <w:spacing w:line="240" w:lineRule="auto"/>
              <w:rPr>
                <w:rFonts w:ascii="Arial" w:hAnsi="Arial" w:cs="Arial"/>
                <w:color w:val="auto"/>
                <w:sz w:val="24"/>
                <w:szCs w:val="24"/>
                <w:lang w:val="en-GB"/>
              </w:rPr>
            </w:pPr>
            <w:r w:rsidRPr="000B1FEB">
              <w:rPr>
                <w:rFonts w:ascii="Arial" w:hAnsi="Arial" w:cs="Arial"/>
                <w:color w:val="auto"/>
                <w:sz w:val="24"/>
                <w:szCs w:val="24"/>
                <w:lang w:val="en-GB"/>
              </w:rPr>
              <w:t>Rubella</w:t>
            </w:r>
          </w:p>
          <w:p w14:paraId="75606F5E" w14:textId="77777777" w:rsidR="004948DD" w:rsidRPr="000B1FEB" w:rsidRDefault="004948DD" w:rsidP="00911B68">
            <w:pPr>
              <w:pStyle w:val="CTB01BT01Bodytext1"/>
              <w:spacing w:line="240" w:lineRule="auto"/>
              <w:rPr>
                <w:rFonts w:ascii="Arial" w:hAnsi="Arial" w:cs="Arial"/>
                <w:color w:val="auto"/>
                <w:sz w:val="24"/>
                <w:szCs w:val="24"/>
                <w:lang w:val="en-GB"/>
              </w:rPr>
            </w:pPr>
            <w:r w:rsidRPr="000B1FEB">
              <w:rPr>
                <w:rFonts w:ascii="Arial" w:hAnsi="Arial" w:cs="Arial"/>
                <w:color w:val="auto"/>
                <w:sz w:val="24"/>
                <w:szCs w:val="24"/>
                <w:lang w:val="en-GB"/>
              </w:rPr>
              <w:t>(German measles)</w:t>
            </w:r>
          </w:p>
          <w:p w14:paraId="0F9D7258"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Virus</w:t>
            </w:r>
          </w:p>
        </w:tc>
        <w:tc>
          <w:tcPr>
            <w:tcW w:w="2268" w:type="dxa"/>
          </w:tcPr>
          <w:p w14:paraId="263863ED" w14:textId="77777777" w:rsidR="004948DD" w:rsidRPr="000B1FEB" w:rsidRDefault="004948DD" w:rsidP="00911B68">
            <w:pPr>
              <w:pStyle w:val="CTB01BT01Bodytext1"/>
              <w:keepNext/>
              <w:keepLines/>
              <w:spacing w:line="240" w:lineRule="auto"/>
              <w:outlineLvl w:val="6"/>
              <w:rPr>
                <w:rFonts w:ascii="Arial" w:hAnsi="Arial" w:cs="Arial"/>
                <w:color w:val="auto"/>
                <w:sz w:val="24"/>
                <w:szCs w:val="24"/>
                <w:lang w:val="en-GB"/>
              </w:rPr>
            </w:pPr>
            <w:r w:rsidRPr="000B1FEB">
              <w:rPr>
                <w:rFonts w:ascii="Arial" w:hAnsi="Arial" w:cs="Arial"/>
                <w:color w:val="auto"/>
                <w:sz w:val="24"/>
                <w:szCs w:val="24"/>
                <w:lang w:val="en-GB"/>
              </w:rPr>
              <w:t>14–21 days</w:t>
            </w:r>
          </w:p>
          <w:p w14:paraId="5C5E3949" w14:textId="77777777" w:rsidR="004948DD" w:rsidRPr="000B1FEB" w:rsidRDefault="004948DD" w:rsidP="00911B68">
            <w:pPr>
              <w:pStyle w:val="CTB01BT01Bodytext1"/>
              <w:spacing w:line="240" w:lineRule="auto"/>
              <w:rPr>
                <w:rFonts w:ascii="Arial" w:hAnsi="Arial" w:cs="Arial"/>
                <w:color w:val="auto"/>
                <w:sz w:val="24"/>
                <w:szCs w:val="24"/>
                <w:lang w:val="en-GB"/>
              </w:rPr>
            </w:pPr>
          </w:p>
          <w:p w14:paraId="25C89C95"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Exclusion: 4 days from the onset of the rash</w:t>
            </w:r>
          </w:p>
        </w:tc>
        <w:tc>
          <w:tcPr>
            <w:tcW w:w="3119" w:type="dxa"/>
          </w:tcPr>
          <w:p w14:paraId="1C2BCBA9"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Slight cold, sore throat, mild fever, swollen glands behind ears, pain in small joints. Slight pink rash starts behind ears and on forehead. Not itchy</w:t>
            </w:r>
          </w:p>
        </w:tc>
        <w:tc>
          <w:tcPr>
            <w:tcW w:w="2126" w:type="dxa"/>
          </w:tcPr>
          <w:p w14:paraId="5730C977"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Rest if necessary. Treat symptoms</w:t>
            </w:r>
          </w:p>
        </w:tc>
      </w:tr>
      <w:tr w:rsidR="004948DD" w:rsidRPr="000B1FEB" w14:paraId="7E76B161" w14:textId="77777777" w:rsidTr="00911B68">
        <w:tc>
          <w:tcPr>
            <w:tcW w:w="1696" w:type="dxa"/>
          </w:tcPr>
          <w:p w14:paraId="76CA66B6" w14:textId="77777777" w:rsidR="004948DD" w:rsidRPr="000B1FEB" w:rsidRDefault="004948DD" w:rsidP="00911B68">
            <w:pPr>
              <w:pStyle w:val="CTB01BT01Bodytext1"/>
              <w:spacing w:line="240" w:lineRule="auto"/>
              <w:rPr>
                <w:rFonts w:ascii="Arial" w:hAnsi="Arial" w:cs="Arial"/>
                <w:color w:val="auto"/>
                <w:sz w:val="24"/>
                <w:szCs w:val="24"/>
                <w:lang w:val="en-GB"/>
              </w:rPr>
            </w:pPr>
            <w:r w:rsidRPr="000B1FEB">
              <w:rPr>
                <w:rFonts w:ascii="Arial" w:hAnsi="Arial" w:cs="Arial"/>
                <w:color w:val="auto"/>
                <w:sz w:val="24"/>
                <w:szCs w:val="24"/>
                <w:lang w:val="en-GB"/>
              </w:rPr>
              <w:t>Scarlet fever</w:t>
            </w:r>
          </w:p>
          <w:p w14:paraId="4DD35AB0" w14:textId="77777777" w:rsidR="004948DD" w:rsidRPr="000B1FEB" w:rsidRDefault="004948DD" w:rsidP="00911B68">
            <w:pPr>
              <w:pStyle w:val="CTB01BT01Bodytext1"/>
              <w:spacing w:line="240" w:lineRule="auto"/>
              <w:rPr>
                <w:rFonts w:ascii="Arial" w:hAnsi="Arial" w:cs="Arial"/>
                <w:color w:val="auto"/>
                <w:sz w:val="24"/>
                <w:szCs w:val="24"/>
                <w:lang w:val="en-GB"/>
              </w:rPr>
            </w:pPr>
            <w:r w:rsidRPr="000B1FEB">
              <w:rPr>
                <w:rFonts w:ascii="Arial" w:hAnsi="Arial" w:cs="Arial"/>
                <w:color w:val="auto"/>
                <w:sz w:val="24"/>
                <w:szCs w:val="24"/>
                <w:lang w:val="en-GB"/>
              </w:rPr>
              <w:t>(</w:t>
            </w:r>
            <w:proofErr w:type="gramStart"/>
            <w:r w:rsidRPr="000B1FEB">
              <w:rPr>
                <w:rFonts w:ascii="Arial" w:hAnsi="Arial" w:cs="Arial"/>
                <w:color w:val="auto"/>
                <w:sz w:val="24"/>
                <w:szCs w:val="24"/>
                <w:lang w:val="en-GB"/>
              </w:rPr>
              <w:t>or</w:t>
            </w:r>
            <w:proofErr w:type="gramEnd"/>
            <w:r w:rsidRPr="000B1FEB">
              <w:rPr>
                <w:rFonts w:ascii="Arial" w:hAnsi="Arial" w:cs="Arial"/>
                <w:color w:val="auto"/>
                <w:sz w:val="24"/>
                <w:szCs w:val="24"/>
                <w:lang w:val="en-GB"/>
              </w:rPr>
              <w:t xml:space="preserve"> scarlatina)</w:t>
            </w:r>
          </w:p>
          <w:p w14:paraId="404AF478"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Bacteria</w:t>
            </w:r>
          </w:p>
        </w:tc>
        <w:tc>
          <w:tcPr>
            <w:tcW w:w="2268" w:type="dxa"/>
          </w:tcPr>
          <w:p w14:paraId="169173F7" w14:textId="77777777" w:rsidR="004948DD" w:rsidRPr="000B1FEB" w:rsidRDefault="004948DD" w:rsidP="00911B68">
            <w:pPr>
              <w:pStyle w:val="CTB01BT01Bodytext1"/>
              <w:keepNext/>
              <w:keepLines/>
              <w:spacing w:line="240" w:lineRule="auto"/>
              <w:outlineLvl w:val="6"/>
              <w:rPr>
                <w:rFonts w:ascii="Arial" w:hAnsi="Arial" w:cs="Arial"/>
                <w:color w:val="auto"/>
                <w:sz w:val="24"/>
                <w:szCs w:val="24"/>
                <w:lang w:val="en-GB"/>
              </w:rPr>
            </w:pPr>
            <w:r w:rsidRPr="000B1FEB">
              <w:rPr>
                <w:rFonts w:ascii="Arial" w:hAnsi="Arial" w:cs="Arial"/>
                <w:color w:val="auto"/>
                <w:sz w:val="24"/>
                <w:szCs w:val="24"/>
                <w:lang w:val="en-GB"/>
              </w:rPr>
              <w:t>2–4 days</w:t>
            </w:r>
          </w:p>
          <w:p w14:paraId="651A926F"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Exclusion: 5 days after the start of antibiotics</w:t>
            </w:r>
          </w:p>
        </w:tc>
        <w:tc>
          <w:tcPr>
            <w:tcW w:w="3119" w:type="dxa"/>
          </w:tcPr>
          <w:p w14:paraId="4770A602"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 xml:space="preserve">Sudden fever, loss of appetite, sore throat, pallor around mouth. Bright red pinpoint rash over face and </w:t>
            </w:r>
          </w:p>
        </w:tc>
        <w:tc>
          <w:tcPr>
            <w:tcW w:w="2126" w:type="dxa"/>
          </w:tcPr>
          <w:p w14:paraId="479D73F7"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Rest, fluids, observe for complications antibiotics,</w:t>
            </w:r>
          </w:p>
        </w:tc>
      </w:tr>
      <w:tr w:rsidR="004948DD" w:rsidRPr="000B1FEB" w14:paraId="6D539724" w14:textId="77777777" w:rsidTr="00911B68">
        <w:tc>
          <w:tcPr>
            <w:tcW w:w="1696" w:type="dxa"/>
          </w:tcPr>
          <w:p w14:paraId="2A7FD099" w14:textId="77777777" w:rsidR="004948DD" w:rsidRPr="000B1FEB" w:rsidRDefault="004948DD" w:rsidP="00911B68">
            <w:pPr>
              <w:pStyle w:val="CTB01BT01Bodytext1"/>
              <w:spacing w:line="240" w:lineRule="auto"/>
              <w:rPr>
                <w:rFonts w:ascii="Arial" w:hAnsi="Arial" w:cs="Arial"/>
                <w:color w:val="auto"/>
                <w:sz w:val="24"/>
                <w:szCs w:val="24"/>
                <w:lang w:val="en-GB"/>
              </w:rPr>
            </w:pPr>
            <w:r w:rsidRPr="000B1FEB">
              <w:rPr>
                <w:rFonts w:ascii="Arial" w:hAnsi="Arial" w:cs="Arial"/>
                <w:color w:val="auto"/>
                <w:sz w:val="24"/>
                <w:szCs w:val="24"/>
                <w:lang w:val="en-GB"/>
              </w:rPr>
              <w:t>Tonsillitis</w:t>
            </w:r>
          </w:p>
          <w:p w14:paraId="047248E4"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Bacteria or virus</w:t>
            </w:r>
          </w:p>
        </w:tc>
        <w:tc>
          <w:tcPr>
            <w:tcW w:w="2268" w:type="dxa"/>
          </w:tcPr>
          <w:p w14:paraId="2F62F4FF" w14:textId="77777777" w:rsidR="004948DD" w:rsidRPr="000B1FEB" w:rsidRDefault="004948DD" w:rsidP="00911B68">
            <w:pPr>
              <w:pStyle w:val="CTB01BT01Bodytext1"/>
              <w:keepNext/>
              <w:keepLines/>
              <w:spacing w:line="240" w:lineRule="auto"/>
              <w:outlineLvl w:val="6"/>
              <w:rPr>
                <w:rFonts w:ascii="Arial" w:hAnsi="Arial" w:cs="Arial"/>
                <w:color w:val="auto"/>
                <w:sz w:val="24"/>
                <w:szCs w:val="24"/>
                <w:lang w:val="en-GB"/>
              </w:rPr>
            </w:pPr>
            <w:r w:rsidRPr="000B1FEB">
              <w:rPr>
                <w:rFonts w:ascii="Arial" w:hAnsi="Arial" w:cs="Arial"/>
                <w:color w:val="auto"/>
                <w:sz w:val="24"/>
                <w:szCs w:val="24"/>
                <w:lang w:val="en-GB"/>
              </w:rPr>
              <w:t>2–4 days</w:t>
            </w:r>
          </w:p>
          <w:p w14:paraId="025DADE3"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Exclusion: until recovered</w:t>
            </w:r>
          </w:p>
        </w:tc>
        <w:tc>
          <w:tcPr>
            <w:tcW w:w="3119" w:type="dxa"/>
          </w:tcPr>
          <w:p w14:paraId="5EE4895F"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Very sore throat, fever, headache, pain on swallowing, aches and pains in back and limbs Throat reddened, tonsils swollen and may be coated or have white spots on them</w:t>
            </w:r>
          </w:p>
        </w:tc>
        <w:tc>
          <w:tcPr>
            <w:tcW w:w="2126" w:type="dxa"/>
          </w:tcPr>
          <w:p w14:paraId="0076EC4B" w14:textId="77777777" w:rsidR="004948DD" w:rsidRPr="000B1FEB" w:rsidRDefault="004948DD" w:rsidP="00911B68">
            <w:pPr>
              <w:spacing w:after="120" w:line="240" w:lineRule="auto"/>
              <w:rPr>
                <w:rFonts w:ascii="Arial" w:hAnsi="Arial" w:cs="Arial"/>
                <w:szCs w:val="24"/>
              </w:rPr>
            </w:pPr>
            <w:r w:rsidRPr="000B1FEB">
              <w:rPr>
                <w:rFonts w:ascii="Arial" w:hAnsi="Arial" w:cs="Arial"/>
                <w:szCs w:val="24"/>
              </w:rPr>
              <w:t>Rest, fluids, medical aid antibiotics, iced drinks to relieve pain</w:t>
            </w:r>
          </w:p>
        </w:tc>
      </w:tr>
    </w:tbl>
    <w:p w14:paraId="3ADA2C20" w14:textId="77777777" w:rsidR="004948DD" w:rsidRPr="000B1FEB" w:rsidRDefault="004948DD" w:rsidP="004948DD">
      <w:pPr>
        <w:spacing w:after="120" w:line="240" w:lineRule="auto"/>
        <w:rPr>
          <w:rFonts w:ascii="Arial" w:hAnsi="Arial" w:cs="Arial"/>
          <w:sz w:val="24"/>
          <w:szCs w:val="24"/>
        </w:rPr>
      </w:pPr>
    </w:p>
    <w:p w14:paraId="5EDBAA27" w14:textId="77777777" w:rsidR="004948DD" w:rsidRDefault="004948DD" w:rsidP="004948DD"/>
    <w:p w14:paraId="2C1B94E7" w14:textId="77777777" w:rsidR="004948DD" w:rsidRDefault="004948DD" w:rsidP="004948DD"/>
    <w:p w14:paraId="1EB0D3CB" w14:textId="77777777" w:rsidR="004948DD" w:rsidRPr="000B1FEB" w:rsidRDefault="004948DD" w:rsidP="000F7606">
      <w:pPr>
        <w:spacing w:after="120" w:line="240" w:lineRule="auto"/>
        <w:rPr>
          <w:rFonts w:ascii="Arial" w:hAnsi="Arial" w:cs="Arial"/>
          <w:sz w:val="24"/>
          <w:szCs w:val="24"/>
        </w:rPr>
      </w:pPr>
    </w:p>
    <w:sectPr w:rsidR="004948DD" w:rsidRPr="000B1F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LTStd-Light">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5C1AC4"/>
    <w:multiLevelType w:val="multilevel"/>
    <w:tmpl w:val="ECF8AB5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875F75"/>
    <w:multiLevelType w:val="multilevel"/>
    <w:tmpl w:val="C5862534"/>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C990905"/>
    <w:multiLevelType w:val="hybridMultilevel"/>
    <w:tmpl w:val="5D9A6E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4826167">
    <w:abstractNumId w:val="2"/>
  </w:num>
  <w:num w:numId="2" w16cid:durableId="2132897371">
    <w:abstractNumId w:val="0"/>
  </w:num>
  <w:num w:numId="3" w16cid:durableId="1081949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06"/>
    <w:rsid w:val="000F7606"/>
    <w:rsid w:val="00217C70"/>
    <w:rsid w:val="003C7F9B"/>
    <w:rsid w:val="004948DD"/>
    <w:rsid w:val="00501A5E"/>
    <w:rsid w:val="00C23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B7E54"/>
  <w15:chartTrackingRefBased/>
  <w15:docId w15:val="{9DE4C209-4D55-4D40-ADCC-4C8B85929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60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7606"/>
    <w:rPr>
      <w:color w:val="0563C1" w:themeColor="hyperlink"/>
      <w:u w:val="single"/>
    </w:rPr>
  </w:style>
  <w:style w:type="paragraph" w:styleId="ListParagraph">
    <w:name w:val="List Paragraph"/>
    <w:basedOn w:val="Normal"/>
    <w:uiPriority w:val="34"/>
    <w:qFormat/>
    <w:rsid w:val="000F7606"/>
    <w:pPr>
      <w:ind w:left="720"/>
      <w:contextualSpacing/>
    </w:pPr>
  </w:style>
  <w:style w:type="paragraph" w:customStyle="1" w:styleId="CTB01BT01Bodytext1">
    <w:name w:val="CTB01_BT01_Body_text_1"/>
    <w:basedOn w:val="Normal"/>
    <w:uiPriority w:val="99"/>
    <w:rsid w:val="000F7606"/>
    <w:pPr>
      <w:widowControl w:val="0"/>
      <w:suppressAutoHyphens/>
      <w:autoSpaceDE w:val="0"/>
      <w:autoSpaceDN w:val="0"/>
      <w:adjustRightInd w:val="0"/>
      <w:spacing w:after="120" w:line="230" w:lineRule="atLeast"/>
      <w:textAlignment w:val="center"/>
    </w:pPr>
    <w:rPr>
      <w:rFonts w:ascii="FrutigerLTStd-Light" w:eastAsia="Times New Roman" w:hAnsi="FrutigerLTStd-Light" w:cs="FrutigerLTStd-Light"/>
      <w:color w:val="000000"/>
      <w:sz w:val="19"/>
      <w:szCs w:val="19"/>
      <w:lang w:val="en-US"/>
    </w:rPr>
  </w:style>
  <w:style w:type="table" w:styleId="TableGrid">
    <w:name w:val="Table Grid"/>
    <w:basedOn w:val="TableNormal"/>
    <w:uiPriority w:val="39"/>
    <w:rsid w:val="000F7606"/>
    <w:pPr>
      <w:spacing w:after="0" w:line="240" w:lineRule="auto"/>
    </w:pPr>
    <w:rPr>
      <w:rFonts w:ascii="Times New Roman" w:eastAsiaTheme="minorEastAsia" w:hAnsi="Times New Roman"/>
      <w:sz w:val="24"/>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1"/>
    <w:basedOn w:val="ListBullet"/>
    <w:autoRedefine/>
    <w:qFormat/>
    <w:rsid w:val="000F7606"/>
    <w:pPr>
      <w:numPr>
        <w:numId w:val="0"/>
      </w:numPr>
      <w:spacing w:after="120" w:line="240" w:lineRule="auto"/>
    </w:pPr>
    <w:rPr>
      <w:rFonts w:ascii="Arial" w:eastAsiaTheme="minorEastAsia" w:hAnsi="Arial" w:cs="Arial"/>
      <w:sz w:val="24"/>
      <w:szCs w:val="24"/>
      <w:lang w:val="en-US" w:eastAsia="ja-JP"/>
    </w:rPr>
  </w:style>
  <w:style w:type="paragraph" w:styleId="ListBullet">
    <w:name w:val="List Bullet"/>
    <w:basedOn w:val="Normal"/>
    <w:uiPriority w:val="99"/>
    <w:semiHidden/>
    <w:unhideWhenUsed/>
    <w:rsid w:val="000F7606"/>
    <w:pPr>
      <w:numPr>
        <w:numId w:val="3"/>
      </w:num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ag.org.uk/child-poverty/child-poverty-facts-and-figures" TargetMode="External"/><Relationship Id="rId3" Type="http://schemas.openxmlformats.org/officeDocument/2006/relationships/settings" Target="settings.xml"/><Relationship Id="rId7" Type="http://schemas.openxmlformats.org/officeDocument/2006/relationships/hyperlink" Target="https://cpag.org.uk/child-poverty/child-poverty-facts-and-figur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pag.org.uk/child-poverty/child-poverty-facts-and-figures" TargetMode="External"/><Relationship Id="rId11" Type="http://schemas.openxmlformats.org/officeDocument/2006/relationships/fontTable" Target="fontTable.xml"/><Relationship Id="rId5" Type="http://schemas.openxmlformats.org/officeDocument/2006/relationships/hyperlink" Target="https://cpag.org.uk/child-poverty/child-poverty-facts-and-figures" TargetMode="External"/><Relationship Id="rId10" Type="http://schemas.openxmlformats.org/officeDocument/2006/relationships/hyperlink" Target="https://cpag.org.uk/child-poverty/child-poverty-facts-and-figures" TargetMode="External"/><Relationship Id="rId4" Type="http://schemas.openxmlformats.org/officeDocument/2006/relationships/webSettings" Target="webSettings.xml"/><Relationship Id="rId9" Type="http://schemas.openxmlformats.org/officeDocument/2006/relationships/hyperlink" Target="https://cpag.org.uk/child-poverty/child-poverty-facts-and-fig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1171</Words>
  <Characters>6678</Characters>
  <Application>Microsoft Office Word</Application>
  <DocSecurity>0</DocSecurity>
  <Lines>55</Lines>
  <Paragraphs>15</Paragraphs>
  <ScaleCrop>false</ScaleCrop>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Manning</dc:creator>
  <cp:keywords/>
  <dc:description/>
  <cp:lastModifiedBy>Julia Manning</cp:lastModifiedBy>
  <cp:revision>3</cp:revision>
  <dcterms:created xsi:type="dcterms:W3CDTF">2023-01-15T11:38:00Z</dcterms:created>
  <dcterms:modified xsi:type="dcterms:W3CDTF">2023-01-17T15:45:00Z</dcterms:modified>
</cp:coreProperties>
</file>