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7F3A2" w14:textId="3F9EE892" w:rsidR="00DA6BB4" w:rsidRDefault="00DA6BB4" w:rsidP="00301629">
      <w:pPr>
        <w:spacing w:after="0" w:line="480" w:lineRule="auto"/>
        <w:jc w:val="center"/>
        <w:rPr>
          <w:rFonts w:ascii="Times New Roman" w:hAnsi="Times New Roman"/>
          <w:b/>
          <w:bCs/>
          <w:sz w:val="24"/>
          <w:szCs w:val="24"/>
        </w:rPr>
      </w:pPr>
      <w:r>
        <w:rPr>
          <w:rFonts w:ascii="Times New Roman" w:hAnsi="Times New Roman"/>
          <w:b/>
          <w:bCs/>
          <w:sz w:val="24"/>
          <w:szCs w:val="24"/>
        </w:rPr>
        <w:t xml:space="preserve">Chapter </w:t>
      </w:r>
      <w:r w:rsidR="000209C1">
        <w:rPr>
          <w:rFonts w:ascii="Times New Roman" w:hAnsi="Times New Roman"/>
          <w:b/>
          <w:bCs/>
          <w:sz w:val="24"/>
          <w:szCs w:val="24"/>
        </w:rPr>
        <w:t>E5</w:t>
      </w:r>
    </w:p>
    <w:p w14:paraId="559C647E" w14:textId="3D811D90" w:rsidR="001D0FF5" w:rsidRPr="00301629" w:rsidRDefault="001D0FF5" w:rsidP="00301629">
      <w:pPr>
        <w:spacing w:after="0" w:line="480" w:lineRule="auto"/>
        <w:jc w:val="center"/>
        <w:rPr>
          <w:rFonts w:ascii="Times New Roman" w:hAnsi="Times New Roman"/>
          <w:b/>
          <w:bCs/>
          <w:sz w:val="24"/>
          <w:szCs w:val="24"/>
        </w:rPr>
      </w:pPr>
      <w:r w:rsidRPr="00301629">
        <w:rPr>
          <w:rFonts w:ascii="Times New Roman" w:hAnsi="Times New Roman"/>
          <w:b/>
          <w:bCs/>
          <w:sz w:val="24"/>
          <w:szCs w:val="24"/>
        </w:rPr>
        <w:t xml:space="preserve">Life </w:t>
      </w:r>
      <w:r w:rsidR="00301629" w:rsidRPr="00301629">
        <w:rPr>
          <w:rFonts w:ascii="Times New Roman" w:hAnsi="Times New Roman"/>
          <w:b/>
          <w:bCs/>
          <w:sz w:val="24"/>
          <w:szCs w:val="24"/>
        </w:rPr>
        <w:t>C</w:t>
      </w:r>
      <w:r w:rsidRPr="00301629">
        <w:rPr>
          <w:rFonts w:ascii="Times New Roman" w:hAnsi="Times New Roman"/>
          <w:b/>
          <w:bCs/>
          <w:sz w:val="24"/>
          <w:szCs w:val="24"/>
        </w:rPr>
        <w:t xml:space="preserve">ycle </w:t>
      </w:r>
      <w:r w:rsidR="00301629" w:rsidRPr="00301629">
        <w:rPr>
          <w:rFonts w:ascii="Times New Roman" w:hAnsi="Times New Roman"/>
          <w:b/>
          <w:bCs/>
          <w:sz w:val="24"/>
          <w:szCs w:val="24"/>
        </w:rPr>
        <w:t>A</w:t>
      </w:r>
      <w:r w:rsidRPr="00301629">
        <w:rPr>
          <w:rFonts w:ascii="Times New Roman" w:hAnsi="Times New Roman"/>
          <w:b/>
          <w:bCs/>
          <w:sz w:val="24"/>
          <w:szCs w:val="24"/>
        </w:rPr>
        <w:t xml:space="preserve">ssessment of </w:t>
      </w:r>
      <w:r w:rsidR="00301629" w:rsidRPr="00301629">
        <w:rPr>
          <w:rFonts w:ascii="Times New Roman" w:hAnsi="Times New Roman"/>
          <w:b/>
          <w:bCs/>
          <w:sz w:val="24"/>
          <w:szCs w:val="24"/>
        </w:rPr>
        <w:t>A</w:t>
      </w:r>
      <w:r w:rsidRPr="00301629">
        <w:rPr>
          <w:rFonts w:ascii="Times New Roman" w:hAnsi="Times New Roman"/>
          <w:b/>
          <w:bCs/>
          <w:sz w:val="24"/>
          <w:szCs w:val="24"/>
        </w:rPr>
        <w:t xml:space="preserve">lternative PFAS </w:t>
      </w:r>
      <w:r w:rsidR="00301629" w:rsidRPr="00301629">
        <w:rPr>
          <w:rFonts w:ascii="Times New Roman" w:hAnsi="Times New Roman"/>
          <w:b/>
          <w:bCs/>
          <w:sz w:val="24"/>
          <w:szCs w:val="24"/>
        </w:rPr>
        <w:t>T</w:t>
      </w:r>
      <w:r w:rsidRPr="00301629">
        <w:rPr>
          <w:rFonts w:ascii="Times New Roman" w:hAnsi="Times New Roman"/>
          <w:b/>
          <w:bCs/>
          <w:sz w:val="24"/>
          <w:szCs w:val="24"/>
        </w:rPr>
        <w:t xml:space="preserve">reatment </w:t>
      </w:r>
      <w:r w:rsidR="00301629" w:rsidRPr="00301629">
        <w:rPr>
          <w:rFonts w:ascii="Times New Roman" w:hAnsi="Times New Roman"/>
          <w:b/>
          <w:bCs/>
          <w:sz w:val="24"/>
          <w:szCs w:val="24"/>
        </w:rPr>
        <w:t>S</w:t>
      </w:r>
      <w:r w:rsidRPr="00301629">
        <w:rPr>
          <w:rFonts w:ascii="Times New Roman" w:hAnsi="Times New Roman"/>
          <w:b/>
          <w:bCs/>
          <w:sz w:val="24"/>
          <w:szCs w:val="24"/>
        </w:rPr>
        <w:t xml:space="preserve">olutions for </w:t>
      </w:r>
      <w:r w:rsidR="00301629" w:rsidRPr="00301629">
        <w:rPr>
          <w:rFonts w:ascii="Times New Roman" w:hAnsi="Times New Roman"/>
          <w:b/>
          <w:bCs/>
          <w:sz w:val="24"/>
          <w:szCs w:val="24"/>
        </w:rPr>
        <w:t>C</w:t>
      </w:r>
      <w:r w:rsidRPr="00301629">
        <w:rPr>
          <w:rFonts w:ascii="Times New Roman" w:hAnsi="Times New Roman"/>
          <w:b/>
          <w:bCs/>
          <w:sz w:val="24"/>
          <w:szCs w:val="24"/>
        </w:rPr>
        <w:t xml:space="preserve">ontaminated </w:t>
      </w:r>
      <w:r w:rsidR="00301629" w:rsidRPr="00301629">
        <w:rPr>
          <w:rFonts w:ascii="Times New Roman" w:hAnsi="Times New Roman"/>
          <w:b/>
          <w:bCs/>
          <w:sz w:val="24"/>
          <w:szCs w:val="24"/>
        </w:rPr>
        <w:t>G</w:t>
      </w:r>
      <w:r w:rsidRPr="00301629">
        <w:rPr>
          <w:rFonts w:ascii="Times New Roman" w:hAnsi="Times New Roman"/>
          <w:b/>
          <w:bCs/>
          <w:sz w:val="24"/>
          <w:szCs w:val="24"/>
        </w:rPr>
        <w:t>roundwater</w:t>
      </w:r>
    </w:p>
    <w:p w14:paraId="73100C31" w14:textId="77777777" w:rsidR="00063A07" w:rsidRPr="00301629" w:rsidRDefault="00063A07" w:rsidP="00301629">
      <w:pPr>
        <w:spacing w:after="0" w:line="480" w:lineRule="auto"/>
        <w:rPr>
          <w:rFonts w:ascii="Times New Roman" w:hAnsi="Times New Roman"/>
          <w:sz w:val="24"/>
          <w:szCs w:val="24"/>
        </w:rPr>
      </w:pPr>
    </w:p>
    <w:p w14:paraId="48A0DDC9" w14:textId="77777777" w:rsidR="00301629" w:rsidRDefault="00063A07" w:rsidP="00301629">
      <w:pPr>
        <w:spacing w:after="0" w:line="480" w:lineRule="auto"/>
        <w:jc w:val="center"/>
        <w:rPr>
          <w:rFonts w:ascii="Times New Roman" w:hAnsi="Times New Roman"/>
          <w:sz w:val="24"/>
          <w:szCs w:val="24"/>
        </w:rPr>
      </w:pPr>
      <w:r w:rsidRPr="00301629">
        <w:rPr>
          <w:rFonts w:ascii="Times New Roman" w:hAnsi="Times New Roman"/>
          <w:sz w:val="24"/>
          <w:szCs w:val="24"/>
        </w:rPr>
        <w:t>Isaac Emery</w:t>
      </w:r>
      <w:r w:rsidR="00301629">
        <w:rPr>
          <w:rFonts w:ascii="Times New Roman" w:hAnsi="Times New Roman"/>
          <w:sz w:val="24"/>
          <w:szCs w:val="24"/>
        </w:rPr>
        <w:t>, Informed Sustainability Consulting, LLC, Seattle, Washington</w:t>
      </w:r>
    </w:p>
    <w:p w14:paraId="6218722B" w14:textId="46F3095A" w:rsidR="00301629" w:rsidRDefault="00063A07" w:rsidP="00301629">
      <w:pPr>
        <w:spacing w:after="0" w:line="480" w:lineRule="auto"/>
        <w:jc w:val="center"/>
        <w:rPr>
          <w:rFonts w:ascii="Times New Roman" w:hAnsi="Times New Roman"/>
          <w:sz w:val="24"/>
          <w:szCs w:val="24"/>
        </w:rPr>
      </w:pPr>
      <w:r w:rsidRPr="00301629">
        <w:rPr>
          <w:rFonts w:ascii="Times New Roman" w:hAnsi="Times New Roman"/>
          <w:sz w:val="24"/>
          <w:szCs w:val="24"/>
        </w:rPr>
        <w:t>Davi</w:t>
      </w:r>
      <w:r w:rsidR="00301629">
        <w:rPr>
          <w:rFonts w:ascii="Times New Roman" w:hAnsi="Times New Roman"/>
          <w:sz w:val="24"/>
          <w:szCs w:val="24"/>
        </w:rPr>
        <w:t>d M.</w:t>
      </w:r>
      <w:r w:rsidRPr="00301629">
        <w:rPr>
          <w:rFonts w:ascii="Times New Roman" w:hAnsi="Times New Roman"/>
          <w:sz w:val="24"/>
          <w:szCs w:val="24"/>
        </w:rPr>
        <w:t xml:space="preserve"> </w:t>
      </w:r>
      <w:proofErr w:type="spellStart"/>
      <w:r w:rsidRPr="00301629">
        <w:rPr>
          <w:rFonts w:ascii="Times New Roman" w:hAnsi="Times New Roman"/>
          <w:sz w:val="24"/>
          <w:szCs w:val="24"/>
        </w:rPr>
        <w:t>Kempisty</w:t>
      </w:r>
      <w:proofErr w:type="spellEnd"/>
      <w:r w:rsidR="00301629">
        <w:rPr>
          <w:rFonts w:ascii="Times New Roman" w:hAnsi="Times New Roman"/>
          <w:sz w:val="24"/>
          <w:szCs w:val="24"/>
        </w:rPr>
        <w:t>, Colorado Springs, Colorado</w:t>
      </w:r>
    </w:p>
    <w:p w14:paraId="734238AF" w14:textId="6DA3A6E8" w:rsidR="00301629" w:rsidRDefault="00063A07" w:rsidP="00301629">
      <w:pPr>
        <w:spacing w:after="0" w:line="480" w:lineRule="auto"/>
        <w:jc w:val="center"/>
        <w:rPr>
          <w:rFonts w:ascii="Times New Roman" w:hAnsi="Times New Roman"/>
          <w:sz w:val="24"/>
          <w:szCs w:val="24"/>
        </w:rPr>
      </w:pPr>
      <w:r w:rsidRPr="00301629">
        <w:rPr>
          <w:rFonts w:ascii="Times New Roman" w:hAnsi="Times New Roman"/>
          <w:sz w:val="24"/>
          <w:szCs w:val="24"/>
        </w:rPr>
        <w:t>Brittany Fain</w:t>
      </w:r>
      <w:r w:rsidR="00C4326E">
        <w:rPr>
          <w:rFonts w:ascii="Times New Roman" w:hAnsi="Times New Roman"/>
          <w:sz w:val="24"/>
          <w:szCs w:val="24"/>
        </w:rPr>
        <w:t>, Dayton, Ohio</w:t>
      </w:r>
    </w:p>
    <w:p w14:paraId="1795231D" w14:textId="4DE33FF2" w:rsidR="00063A07" w:rsidRPr="00301629" w:rsidRDefault="00063A07" w:rsidP="00301629">
      <w:pPr>
        <w:spacing w:after="0" w:line="480" w:lineRule="auto"/>
        <w:jc w:val="center"/>
        <w:rPr>
          <w:rFonts w:ascii="Times New Roman" w:hAnsi="Times New Roman"/>
          <w:sz w:val="24"/>
          <w:szCs w:val="24"/>
        </w:rPr>
      </w:pPr>
      <w:r w:rsidRPr="00301629">
        <w:rPr>
          <w:rFonts w:ascii="Times New Roman" w:hAnsi="Times New Roman"/>
          <w:sz w:val="24"/>
          <w:szCs w:val="24"/>
        </w:rPr>
        <w:t>Eric Mbonimpa</w:t>
      </w:r>
      <w:r w:rsidR="00301629">
        <w:rPr>
          <w:rFonts w:ascii="Times New Roman" w:hAnsi="Times New Roman"/>
          <w:sz w:val="24"/>
          <w:szCs w:val="24"/>
        </w:rPr>
        <w:t>, Air Force Institute of Technology, Wright-Patterson Air Force Base, Ohio</w:t>
      </w:r>
    </w:p>
    <w:p w14:paraId="13AC8DD6" w14:textId="77777777" w:rsidR="000209C1" w:rsidRDefault="000209C1" w:rsidP="000209C1">
      <w:pPr>
        <w:spacing w:after="0" w:line="480" w:lineRule="auto"/>
        <w:rPr>
          <w:rFonts w:ascii="Times New Roman" w:hAnsi="Times New Roman"/>
          <w:b/>
          <w:sz w:val="24"/>
          <w:szCs w:val="24"/>
        </w:rPr>
      </w:pPr>
    </w:p>
    <w:p w14:paraId="19E20A18" w14:textId="3AD4E045" w:rsidR="000209C1" w:rsidRPr="00301629" w:rsidRDefault="000209C1" w:rsidP="000209C1">
      <w:pPr>
        <w:spacing w:after="0" w:line="480" w:lineRule="auto"/>
        <w:rPr>
          <w:rFonts w:ascii="Times New Roman" w:hAnsi="Times New Roman"/>
          <w:b/>
          <w:sz w:val="24"/>
          <w:szCs w:val="24"/>
        </w:rPr>
      </w:pPr>
      <w:r w:rsidRPr="00301629">
        <w:rPr>
          <w:rFonts w:ascii="Times New Roman" w:hAnsi="Times New Roman"/>
          <w:b/>
          <w:sz w:val="24"/>
          <w:szCs w:val="24"/>
        </w:rPr>
        <w:t>Abstract</w:t>
      </w:r>
    </w:p>
    <w:p w14:paraId="2B1EA584" w14:textId="77777777" w:rsidR="000209C1" w:rsidRDefault="000209C1" w:rsidP="000209C1">
      <w:pPr>
        <w:spacing w:after="0" w:line="480" w:lineRule="auto"/>
        <w:rPr>
          <w:rFonts w:ascii="Times New Roman" w:hAnsi="Times New Roman"/>
          <w:sz w:val="24"/>
          <w:szCs w:val="24"/>
        </w:rPr>
      </w:pPr>
    </w:p>
    <w:p w14:paraId="0FA9FDC8" w14:textId="5DCA0B41" w:rsidR="000209C1" w:rsidRPr="00301629" w:rsidRDefault="000209C1" w:rsidP="000209C1">
      <w:pPr>
        <w:spacing w:after="0" w:line="480" w:lineRule="auto"/>
        <w:rPr>
          <w:rFonts w:ascii="Times New Roman" w:hAnsi="Times New Roman"/>
          <w:sz w:val="24"/>
          <w:szCs w:val="24"/>
        </w:rPr>
      </w:pPr>
      <w:r w:rsidRPr="00301629">
        <w:rPr>
          <w:rFonts w:ascii="Times New Roman" w:hAnsi="Times New Roman"/>
          <w:sz w:val="24"/>
          <w:szCs w:val="24"/>
        </w:rPr>
        <w:t xml:space="preserve">We assembled life cycle models for groundwater treatment and bottled water delivery to residents of Wright-Patterson Air Force Base, Ohio where wells were recently taken out of service due to concerns related to per- and polyfluoroalkyl substance (PFAS) contamination. Two treatment methods, granular activated carbon filtration and ion-exchange columns, </w:t>
      </w:r>
      <w:r>
        <w:rPr>
          <w:rFonts w:ascii="Times New Roman" w:hAnsi="Times New Roman"/>
          <w:sz w:val="24"/>
          <w:szCs w:val="24"/>
        </w:rPr>
        <w:t>wer</w:t>
      </w:r>
      <w:r w:rsidRPr="00301629">
        <w:rPr>
          <w:rFonts w:ascii="Times New Roman" w:hAnsi="Times New Roman"/>
          <w:sz w:val="24"/>
          <w:szCs w:val="24"/>
        </w:rPr>
        <w:t>e modeled under a range of contaminant concentrations covering three orders of magnitude: 0.7, 7.0, and 70 µg/L PFAS. On-site infrastructure, operations, and adsorbent cycling were included in models. Impacts of bottled water production and supply were assessed using two data sets reflecting a range of production and supply chain assumptions. Uncertainty in input data was captured using Monte Carlo simulations.</w:t>
      </w:r>
      <w:r>
        <w:rPr>
          <w:rFonts w:ascii="Times New Roman" w:hAnsi="Times New Roman"/>
          <w:sz w:val="24"/>
          <w:szCs w:val="24"/>
        </w:rPr>
        <w:t xml:space="preserve"> </w:t>
      </w:r>
      <w:r w:rsidRPr="00301629">
        <w:rPr>
          <w:rFonts w:ascii="Times New Roman" w:hAnsi="Times New Roman"/>
          <w:sz w:val="24"/>
          <w:szCs w:val="24"/>
        </w:rPr>
        <w:t xml:space="preserve">Results show that for contaminant concentrations below 70 µg/L the dominant contributor to life cycle impacts is electricity use at the treatment facility. Production, reactivation, and disposal of treatment media become major sources of impact only at very high PFAS concentrations. Though the life cycle impacts of bottled water are up to three </w:t>
      </w:r>
      <w:r w:rsidRPr="00301629">
        <w:rPr>
          <w:rFonts w:ascii="Times New Roman" w:hAnsi="Times New Roman"/>
          <w:sz w:val="24"/>
          <w:szCs w:val="24"/>
        </w:rPr>
        <w:lastRenderedPageBreak/>
        <w:t>orders of magnitude higher than remediated groundwater on a volumetric basis, supplementing a contaminated water supply with bottled drinking water may result in lower life cycle human health impacts when only a small proportion of the total population is vulnerable.</w:t>
      </w:r>
    </w:p>
    <w:p w14:paraId="0779AAF1" w14:textId="77777777" w:rsidR="000209C1" w:rsidRDefault="000209C1" w:rsidP="000209C1"/>
    <w:p w14:paraId="1D9FDC85" w14:textId="57AA9192" w:rsidR="00252C9A" w:rsidRPr="00252C9A" w:rsidRDefault="00252C9A" w:rsidP="00301629">
      <w:pPr>
        <w:spacing w:after="0" w:line="480" w:lineRule="auto"/>
        <w:rPr>
          <w:rFonts w:ascii="Times New Roman" w:eastAsia="Times New Roman" w:hAnsi="Times New Roman"/>
          <w:b/>
          <w:bCs/>
          <w:sz w:val="24"/>
          <w:szCs w:val="24"/>
        </w:rPr>
      </w:pPr>
      <w:proofErr w:type="gramStart"/>
      <w:r w:rsidRPr="00252C9A">
        <w:rPr>
          <w:rFonts w:ascii="Times New Roman" w:eastAsia="Times New Roman" w:hAnsi="Times New Roman"/>
          <w:b/>
          <w:bCs/>
          <w:sz w:val="24"/>
          <w:szCs w:val="24"/>
        </w:rPr>
        <w:t>1.0  Introduction</w:t>
      </w:r>
      <w:proofErr w:type="gramEnd"/>
    </w:p>
    <w:p w14:paraId="105B0929" w14:textId="77777777" w:rsidR="00252C9A" w:rsidRDefault="00252C9A" w:rsidP="00301629">
      <w:pPr>
        <w:spacing w:after="0" w:line="480" w:lineRule="auto"/>
        <w:rPr>
          <w:rFonts w:ascii="Times New Roman" w:hAnsi="Times New Roman"/>
          <w:sz w:val="24"/>
          <w:szCs w:val="24"/>
        </w:rPr>
      </w:pPr>
    </w:p>
    <w:p w14:paraId="10B00918" w14:textId="7F1CB5CC" w:rsidR="00063A07" w:rsidRPr="00301629" w:rsidRDefault="00063A07" w:rsidP="00301629">
      <w:pPr>
        <w:spacing w:after="0" w:line="480" w:lineRule="auto"/>
        <w:rPr>
          <w:rFonts w:ascii="Times New Roman" w:hAnsi="Times New Roman"/>
          <w:sz w:val="24"/>
          <w:szCs w:val="24"/>
        </w:rPr>
      </w:pPr>
      <w:r w:rsidRPr="00301629">
        <w:rPr>
          <w:rFonts w:ascii="Times New Roman" w:hAnsi="Times New Roman"/>
          <w:sz w:val="24"/>
          <w:szCs w:val="24"/>
        </w:rPr>
        <w:t>Discovery of</w:t>
      </w:r>
      <w:r w:rsidR="00943191">
        <w:rPr>
          <w:rFonts w:ascii="Times New Roman" w:hAnsi="Times New Roman"/>
          <w:sz w:val="24"/>
          <w:szCs w:val="24"/>
        </w:rPr>
        <w:t xml:space="preserve"> PFAS-</w:t>
      </w:r>
      <w:r w:rsidRPr="00301629">
        <w:rPr>
          <w:rFonts w:ascii="Times New Roman" w:hAnsi="Times New Roman"/>
          <w:sz w:val="24"/>
          <w:szCs w:val="24"/>
        </w:rPr>
        <w:t xml:space="preserve">contaminated groundwater at military bases has triggered water supply well shutdowns, emergency bottled water delivery, and warnings to vulnerable populations. </w:t>
      </w:r>
    </w:p>
    <w:p w14:paraId="253D84A7" w14:textId="386D127D" w:rsidR="00063A07" w:rsidRPr="00301629" w:rsidRDefault="00063A07" w:rsidP="00301629">
      <w:pPr>
        <w:spacing w:after="0" w:line="480" w:lineRule="auto"/>
        <w:rPr>
          <w:rFonts w:ascii="Times New Roman" w:hAnsi="Times New Roman"/>
          <w:color w:val="2E2E2E"/>
          <w:sz w:val="24"/>
          <w:szCs w:val="24"/>
        </w:rPr>
      </w:pPr>
      <w:r w:rsidRPr="00301629">
        <w:rPr>
          <w:rFonts w:ascii="Times New Roman" w:hAnsi="Times New Roman"/>
          <w:sz w:val="24"/>
          <w:szCs w:val="24"/>
        </w:rPr>
        <w:t xml:space="preserve">Several studies have identified granular activated carbon (GAC) as a promising </w:t>
      </w:r>
      <w:r w:rsidR="002D549E" w:rsidRPr="00301629">
        <w:rPr>
          <w:rFonts w:ascii="Times New Roman" w:hAnsi="Times New Roman"/>
          <w:sz w:val="24"/>
          <w:szCs w:val="24"/>
        </w:rPr>
        <w:t>treatment</w:t>
      </w:r>
      <w:r w:rsidRPr="00301629">
        <w:rPr>
          <w:rFonts w:ascii="Times New Roman" w:hAnsi="Times New Roman"/>
          <w:sz w:val="24"/>
          <w:szCs w:val="24"/>
        </w:rPr>
        <w:t xml:space="preserve"> technology, particularly for longer-chained PFAS including PFOA and PFOS </w:t>
      </w:r>
      <w:bookmarkStart w:id="0" w:name="Mendeley_Bookmark_1GxYyW5eR4"/>
      <w:r w:rsidRPr="00301629">
        <w:rPr>
          <w:rFonts w:ascii="Times New Roman" w:hAnsi="Times New Roman"/>
          <w:sz w:val="24"/>
          <w:szCs w:val="24"/>
        </w:rPr>
        <w:t>(Appleman et al.</w:t>
      </w:r>
      <w:r w:rsidR="007A2FBB">
        <w:rPr>
          <w:rFonts w:ascii="Times New Roman" w:hAnsi="Times New Roman"/>
          <w:sz w:val="24"/>
          <w:szCs w:val="24"/>
        </w:rPr>
        <w:t xml:space="preserve"> 2013,</w:t>
      </w:r>
      <w:r w:rsidRPr="00301629">
        <w:rPr>
          <w:rFonts w:ascii="Times New Roman" w:hAnsi="Times New Roman"/>
          <w:sz w:val="24"/>
          <w:szCs w:val="24"/>
        </w:rPr>
        <w:t xml:space="preserve"> 2014</w:t>
      </w:r>
      <w:r w:rsidR="007A2FBB">
        <w:rPr>
          <w:rFonts w:ascii="Times New Roman" w:hAnsi="Times New Roman"/>
          <w:sz w:val="24"/>
          <w:szCs w:val="24"/>
        </w:rPr>
        <w:t>;</w:t>
      </w:r>
      <w:r w:rsidRPr="00301629">
        <w:rPr>
          <w:rFonts w:ascii="Times New Roman" w:hAnsi="Times New Roman"/>
          <w:sz w:val="24"/>
          <w:szCs w:val="24"/>
        </w:rPr>
        <w:t xml:space="preserve"> Dickenson and Higgins 2016a)</w:t>
      </w:r>
      <w:bookmarkEnd w:id="0"/>
      <w:r w:rsidRPr="00301629">
        <w:rPr>
          <w:rFonts w:ascii="Times New Roman" w:hAnsi="Times New Roman"/>
          <w:sz w:val="24"/>
          <w:szCs w:val="24"/>
        </w:rPr>
        <w:t xml:space="preserve">. Ion exchange (IEX) resins have also been successful at removing PFAS at various bench scale studies and pilot system tests, achieving up to 99% removal of both PFOS and PFOA </w:t>
      </w:r>
      <w:bookmarkStart w:id="1" w:name="Mendeley_Bookmark_qUlhK60672"/>
      <w:r w:rsidRPr="00301629">
        <w:rPr>
          <w:rFonts w:ascii="Times New Roman" w:hAnsi="Times New Roman"/>
          <w:sz w:val="24"/>
          <w:szCs w:val="24"/>
        </w:rPr>
        <w:t>(Appleman et al. 2014</w:t>
      </w:r>
      <w:r w:rsidR="007A2FBB">
        <w:rPr>
          <w:rFonts w:ascii="Times New Roman" w:hAnsi="Times New Roman"/>
          <w:sz w:val="24"/>
          <w:szCs w:val="24"/>
        </w:rPr>
        <w:t>,</w:t>
      </w:r>
      <w:r w:rsidRPr="00301629">
        <w:rPr>
          <w:rFonts w:ascii="Times New Roman" w:hAnsi="Times New Roman"/>
          <w:sz w:val="24"/>
          <w:szCs w:val="24"/>
        </w:rPr>
        <w:t xml:space="preserve"> Dickenson and Higgins 2016b)</w:t>
      </w:r>
      <w:bookmarkEnd w:id="1"/>
      <w:r w:rsidRPr="00301629">
        <w:rPr>
          <w:rFonts w:ascii="Times New Roman" w:hAnsi="Times New Roman"/>
          <w:sz w:val="24"/>
          <w:szCs w:val="24"/>
        </w:rPr>
        <w:t>.  Concerns remain for scaling up ion exchange resins from pilot scale, such as media interactions with dissolved organic matter or other competing compounds, and the effectiveness and efficiency of media regeneration.</w:t>
      </w:r>
    </w:p>
    <w:p w14:paraId="3A50B77F" w14:textId="416ED7DA" w:rsidR="00063A07" w:rsidRPr="00301629" w:rsidRDefault="00063A07" w:rsidP="004E4573">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Some institutions have responded to the EPA health advisory </w:t>
      </w:r>
      <w:r w:rsidR="00943191" w:rsidRPr="00301629">
        <w:rPr>
          <w:rFonts w:ascii="Times New Roman" w:hAnsi="Times New Roman"/>
          <w:sz w:val="24"/>
          <w:szCs w:val="24"/>
        </w:rPr>
        <w:t>limiting the combined concentration of PFOA and PFOS to 70 parts per trillion in drinking water</w:t>
      </w:r>
      <w:r w:rsidR="00943191">
        <w:rPr>
          <w:rFonts w:ascii="Times New Roman" w:hAnsi="Times New Roman"/>
          <w:sz w:val="24"/>
          <w:szCs w:val="24"/>
        </w:rPr>
        <w:t xml:space="preserve"> </w:t>
      </w:r>
      <w:r w:rsidR="00943191" w:rsidRPr="00301629">
        <w:rPr>
          <w:rFonts w:ascii="Times New Roman" w:hAnsi="Times New Roman"/>
          <w:sz w:val="24"/>
          <w:szCs w:val="24"/>
        </w:rPr>
        <w:t>(USEPA 2016a)</w:t>
      </w:r>
      <w:r w:rsidR="00943191">
        <w:rPr>
          <w:rFonts w:ascii="Times New Roman" w:hAnsi="Times New Roman"/>
          <w:sz w:val="24"/>
          <w:szCs w:val="24"/>
        </w:rPr>
        <w:t xml:space="preserve"> </w:t>
      </w:r>
      <w:r w:rsidRPr="00301629">
        <w:rPr>
          <w:rFonts w:ascii="Times New Roman" w:hAnsi="Times New Roman"/>
          <w:sz w:val="24"/>
          <w:szCs w:val="24"/>
        </w:rPr>
        <w:t xml:space="preserve">by supplying bottled water to populations whose water may exceed the recommended maximum concentrations for PFOA and PFOS as either a temporary or permanent solution. Though bottled water has been shown to have relatively high life cycle impacts relative to tap water </w:t>
      </w:r>
      <w:bookmarkStart w:id="2" w:name="Mendeley_Bookmark_U1UphqobKN"/>
      <w:r w:rsidRPr="00301629">
        <w:rPr>
          <w:rFonts w:ascii="Times New Roman" w:hAnsi="Times New Roman"/>
          <w:sz w:val="24"/>
          <w:szCs w:val="24"/>
        </w:rPr>
        <w:t>(</w:t>
      </w:r>
      <w:proofErr w:type="spellStart"/>
      <w:r w:rsidRPr="00301629">
        <w:rPr>
          <w:rFonts w:ascii="Times New Roman" w:hAnsi="Times New Roman"/>
          <w:sz w:val="24"/>
          <w:szCs w:val="24"/>
        </w:rPr>
        <w:t>Fantin</w:t>
      </w:r>
      <w:proofErr w:type="spellEnd"/>
      <w:r w:rsidRPr="00301629">
        <w:rPr>
          <w:rFonts w:ascii="Times New Roman" w:hAnsi="Times New Roman"/>
          <w:sz w:val="24"/>
          <w:szCs w:val="24"/>
        </w:rPr>
        <w:t xml:space="preserve"> et al. 2014)</w:t>
      </w:r>
      <w:bookmarkEnd w:id="2"/>
      <w:r w:rsidRPr="00301629">
        <w:rPr>
          <w:rFonts w:ascii="Times New Roman" w:hAnsi="Times New Roman"/>
          <w:sz w:val="24"/>
          <w:szCs w:val="24"/>
        </w:rPr>
        <w:t xml:space="preserve">, differences in the quantity of water supplied through drinking water distribution and municipal water systems could affect the net impacts of bottled water and groundwater </w:t>
      </w:r>
      <w:r w:rsidR="002D549E" w:rsidRPr="00301629">
        <w:rPr>
          <w:rFonts w:ascii="Times New Roman" w:hAnsi="Times New Roman"/>
          <w:sz w:val="24"/>
          <w:szCs w:val="24"/>
        </w:rPr>
        <w:t>treatment</w:t>
      </w:r>
      <w:r w:rsidR="00C43B17" w:rsidRPr="00301629">
        <w:rPr>
          <w:rFonts w:ascii="Times New Roman" w:hAnsi="Times New Roman"/>
          <w:sz w:val="24"/>
          <w:szCs w:val="24"/>
        </w:rPr>
        <w:t xml:space="preserve"> </w:t>
      </w:r>
      <w:r w:rsidRPr="00301629">
        <w:rPr>
          <w:rFonts w:ascii="Times New Roman" w:hAnsi="Times New Roman"/>
          <w:sz w:val="24"/>
          <w:szCs w:val="24"/>
        </w:rPr>
        <w:t xml:space="preserve">scenarios.  Environmental implications of bottled water vary depending on the size of the bottle, </w:t>
      </w:r>
      <w:r w:rsidRPr="00301629">
        <w:rPr>
          <w:rFonts w:ascii="Times New Roman" w:hAnsi="Times New Roman"/>
          <w:sz w:val="24"/>
          <w:szCs w:val="24"/>
        </w:rPr>
        <w:lastRenderedPageBreak/>
        <w:t xml:space="preserve">transportation distance from the bottler to consumer, and particular processing, labeling, </w:t>
      </w:r>
      <w:proofErr w:type="gramStart"/>
      <w:r w:rsidRPr="00301629">
        <w:rPr>
          <w:rFonts w:ascii="Times New Roman" w:hAnsi="Times New Roman"/>
          <w:sz w:val="24"/>
          <w:szCs w:val="24"/>
        </w:rPr>
        <w:t>refrigeration</w:t>
      </w:r>
      <w:proofErr w:type="gramEnd"/>
      <w:r w:rsidRPr="00301629">
        <w:rPr>
          <w:rFonts w:ascii="Times New Roman" w:hAnsi="Times New Roman"/>
          <w:sz w:val="24"/>
          <w:szCs w:val="24"/>
        </w:rPr>
        <w:t xml:space="preserve"> and bottle disposal methods </w:t>
      </w:r>
      <w:bookmarkStart w:id="3" w:name="Mendeley_Bookmark_LzYl5Djs4Z"/>
      <w:r w:rsidRPr="00301629">
        <w:rPr>
          <w:rFonts w:ascii="Times New Roman" w:hAnsi="Times New Roman"/>
          <w:sz w:val="24"/>
          <w:szCs w:val="24"/>
        </w:rPr>
        <w:t>(</w:t>
      </w:r>
      <w:proofErr w:type="spellStart"/>
      <w:r w:rsidRPr="00301629">
        <w:rPr>
          <w:rFonts w:ascii="Times New Roman" w:hAnsi="Times New Roman"/>
          <w:sz w:val="24"/>
          <w:szCs w:val="24"/>
        </w:rPr>
        <w:t>Amec</w:t>
      </w:r>
      <w:proofErr w:type="spellEnd"/>
      <w:r w:rsidRPr="00301629">
        <w:rPr>
          <w:rFonts w:ascii="Times New Roman" w:hAnsi="Times New Roman"/>
          <w:sz w:val="24"/>
          <w:szCs w:val="24"/>
        </w:rPr>
        <w:t xml:space="preserve"> Foster Wheeler 2017)</w:t>
      </w:r>
      <w:bookmarkEnd w:id="3"/>
      <w:r w:rsidRPr="00301629">
        <w:rPr>
          <w:rFonts w:ascii="Times New Roman" w:hAnsi="Times New Roman"/>
          <w:sz w:val="24"/>
          <w:szCs w:val="24"/>
        </w:rPr>
        <w:t xml:space="preserve">. For water packaged near to the consumer, the energy requirements are dominated by the energy used to produce the plastic bottles, while bottled water requiring for long-distance shipment, energy costs for transportation can be comparable to, or even larger than energy used for plastic bottle manufacture </w:t>
      </w:r>
      <w:bookmarkStart w:id="4" w:name="Mendeley_Bookmark_6kjyxMhttf"/>
      <w:r w:rsidRPr="00301629">
        <w:rPr>
          <w:rFonts w:ascii="Times New Roman" w:hAnsi="Times New Roman"/>
          <w:sz w:val="24"/>
          <w:szCs w:val="24"/>
        </w:rPr>
        <w:t>(</w:t>
      </w:r>
      <w:proofErr w:type="spellStart"/>
      <w:r w:rsidRPr="00301629">
        <w:rPr>
          <w:rFonts w:ascii="Times New Roman" w:hAnsi="Times New Roman"/>
          <w:sz w:val="24"/>
          <w:szCs w:val="24"/>
        </w:rPr>
        <w:t>Gleick</w:t>
      </w:r>
      <w:proofErr w:type="spellEnd"/>
      <w:r w:rsidRPr="00301629">
        <w:rPr>
          <w:rFonts w:ascii="Times New Roman" w:hAnsi="Times New Roman"/>
          <w:sz w:val="24"/>
          <w:szCs w:val="24"/>
        </w:rPr>
        <w:t xml:space="preserve"> and Cooley 2009)</w:t>
      </w:r>
      <w:bookmarkEnd w:id="4"/>
      <w:r w:rsidRPr="00301629">
        <w:rPr>
          <w:rFonts w:ascii="Times New Roman" w:hAnsi="Times New Roman"/>
          <w:sz w:val="24"/>
          <w:szCs w:val="24"/>
        </w:rPr>
        <w:t>.</w:t>
      </w:r>
    </w:p>
    <w:p w14:paraId="459C4885" w14:textId="545B91F2" w:rsidR="00063A07" w:rsidRPr="00301629" w:rsidRDefault="00063A07" w:rsidP="006A09C1">
      <w:pPr>
        <w:spacing w:after="0" w:line="480" w:lineRule="auto"/>
        <w:ind w:firstLine="720"/>
        <w:rPr>
          <w:rFonts w:ascii="Times New Roman" w:hAnsi="Times New Roman"/>
          <w:sz w:val="24"/>
          <w:szCs w:val="24"/>
        </w:rPr>
      </w:pPr>
      <w:r w:rsidRPr="00301629">
        <w:rPr>
          <w:rFonts w:ascii="Times New Roman" w:hAnsi="Times New Roman"/>
          <w:sz w:val="24"/>
          <w:szCs w:val="24"/>
        </w:rPr>
        <w:t>In this study we examine</w:t>
      </w:r>
      <w:r w:rsidR="00D11298" w:rsidRPr="00301629">
        <w:rPr>
          <w:rFonts w:ascii="Times New Roman" w:hAnsi="Times New Roman"/>
          <w:sz w:val="24"/>
          <w:szCs w:val="24"/>
        </w:rPr>
        <w:t>, using life cycle assessment (LCA),</w:t>
      </w:r>
      <w:r w:rsidRPr="00301629">
        <w:rPr>
          <w:rFonts w:ascii="Times New Roman" w:hAnsi="Times New Roman"/>
          <w:sz w:val="24"/>
          <w:szCs w:val="24"/>
        </w:rPr>
        <w:t xml:space="preserve"> two methods of high-throughput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that have been shown to be effective in eliminating PFAS (GAC and IEX). </w:t>
      </w:r>
      <w:r w:rsidR="00D11298" w:rsidRPr="00301629">
        <w:rPr>
          <w:rFonts w:ascii="Times New Roman" w:hAnsi="Times New Roman"/>
          <w:sz w:val="24"/>
          <w:szCs w:val="24"/>
        </w:rPr>
        <w:t>LCA is a widely recognized method to evaluate “cradle-to-grave” environmental impacts from a product or a process. According to ISO 14040</w:t>
      </w:r>
      <w:r w:rsidR="00C30277" w:rsidRPr="00301629">
        <w:rPr>
          <w:rFonts w:ascii="Times New Roman" w:hAnsi="Times New Roman"/>
          <w:sz w:val="24"/>
          <w:szCs w:val="24"/>
        </w:rPr>
        <w:t xml:space="preserve"> series of</w:t>
      </w:r>
      <w:r w:rsidR="00D11298" w:rsidRPr="00301629">
        <w:rPr>
          <w:rFonts w:ascii="Times New Roman" w:hAnsi="Times New Roman"/>
          <w:sz w:val="24"/>
          <w:szCs w:val="24"/>
        </w:rPr>
        <w:t xml:space="preserve"> standards, it involves: a goal and scope definition, inventory analysis, impact assessment and interpretation</w:t>
      </w:r>
      <w:r w:rsidR="001C0072" w:rsidRPr="00301629">
        <w:rPr>
          <w:rFonts w:ascii="Times New Roman" w:hAnsi="Times New Roman"/>
          <w:sz w:val="24"/>
          <w:szCs w:val="24"/>
        </w:rPr>
        <w:t xml:space="preserve"> (</w:t>
      </w:r>
      <w:proofErr w:type="spellStart"/>
      <w:r w:rsidR="001C0072" w:rsidRPr="00301629">
        <w:rPr>
          <w:rFonts w:ascii="Times New Roman" w:hAnsi="Times New Roman"/>
          <w:sz w:val="24"/>
          <w:szCs w:val="24"/>
        </w:rPr>
        <w:t>Finkbeiner</w:t>
      </w:r>
      <w:proofErr w:type="spellEnd"/>
      <w:r w:rsidR="001C0072" w:rsidRPr="00301629">
        <w:rPr>
          <w:rFonts w:ascii="Times New Roman" w:hAnsi="Times New Roman"/>
          <w:sz w:val="24"/>
          <w:szCs w:val="24"/>
        </w:rPr>
        <w:t xml:space="preserve"> et al. 2006)</w:t>
      </w:r>
      <w:r w:rsidR="00D11298" w:rsidRPr="00301629">
        <w:rPr>
          <w:rFonts w:ascii="Times New Roman" w:hAnsi="Times New Roman"/>
          <w:sz w:val="24"/>
          <w:szCs w:val="24"/>
        </w:rPr>
        <w:t xml:space="preserve">. </w:t>
      </w:r>
      <w:r w:rsidR="00FF6BE0" w:rsidRPr="00301629">
        <w:rPr>
          <w:rFonts w:ascii="Times New Roman" w:hAnsi="Times New Roman"/>
          <w:sz w:val="24"/>
          <w:szCs w:val="24"/>
        </w:rPr>
        <w:t>For this study, w</w:t>
      </w:r>
      <w:r w:rsidRPr="00301629">
        <w:rPr>
          <w:rFonts w:ascii="Times New Roman" w:hAnsi="Times New Roman"/>
          <w:sz w:val="24"/>
          <w:szCs w:val="24"/>
        </w:rPr>
        <w:t>e assess</w:t>
      </w:r>
      <w:r w:rsidR="00FF6BE0" w:rsidRPr="00301629">
        <w:rPr>
          <w:rFonts w:ascii="Times New Roman" w:hAnsi="Times New Roman"/>
          <w:sz w:val="24"/>
          <w:szCs w:val="24"/>
        </w:rPr>
        <w:t>ed</w:t>
      </w:r>
      <w:r w:rsidRPr="00301629">
        <w:rPr>
          <w:rFonts w:ascii="Times New Roman" w:hAnsi="Times New Roman"/>
          <w:sz w:val="24"/>
          <w:szCs w:val="24"/>
        </w:rPr>
        <w:t xml:space="preserve"> the </w:t>
      </w:r>
      <w:proofErr w:type="gramStart"/>
      <w:r w:rsidRPr="00301629">
        <w:rPr>
          <w:rFonts w:ascii="Times New Roman" w:hAnsi="Times New Roman"/>
          <w:sz w:val="24"/>
          <w:szCs w:val="24"/>
        </w:rPr>
        <w:t>life-cycle</w:t>
      </w:r>
      <w:proofErr w:type="gramEnd"/>
      <w:r w:rsidRPr="00301629">
        <w:rPr>
          <w:rFonts w:ascii="Times New Roman" w:hAnsi="Times New Roman"/>
          <w:sz w:val="24"/>
          <w:szCs w:val="24"/>
        </w:rPr>
        <w:t xml:space="preserve"> impacts to climate, human health, and ecosystem health of operating these systems at </w:t>
      </w:r>
      <w:r w:rsidR="00A85A70" w:rsidRPr="00301629">
        <w:rPr>
          <w:rFonts w:ascii="Times New Roman" w:hAnsi="Times New Roman"/>
          <w:sz w:val="24"/>
          <w:szCs w:val="24"/>
        </w:rPr>
        <w:t xml:space="preserve">PFAS </w:t>
      </w:r>
      <w:r w:rsidRPr="00301629">
        <w:rPr>
          <w:rFonts w:ascii="Times New Roman" w:hAnsi="Times New Roman"/>
          <w:sz w:val="24"/>
          <w:szCs w:val="24"/>
        </w:rPr>
        <w:t xml:space="preserve">concentrations representative of </w:t>
      </w:r>
      <w:r w:rsidR="00A85A70" w:rsidRPr="00301629">
        <w:rPr>
          <w:rFonts w:ascii="Times New Roman" w:hAnsi="Times New Roman"/>
          <w:sz w:val="24"/>
          <w:szCs w:val="24"/>
        </w:rPr>
        <w:t>some</w:t>
      </w:r>
      <w:r w:rsidRPr="00301629">
        <w:rPr>
          <w:rFonts w:ascii="Times New Roman" w:hAnsi="Times New Roman"/>
          <w:sz w:val="24"/>
          <w:szCs w:val="24"/>
        </w:rPr>
        <w:t xml:space="preserve"> contaminated sites </w:t>
      </w:r>
      <w:r w:rsidR="00A85A70" w:rsidRPr="00301629">
        <w:rPr>
          <w:rFonts w:ascii="Times New Roman" w:hAnsi="Times New Roman"/>
          <w:sz w:val="24"/>
          <w:szCs w:val="24"/>
        </w:rPr>
        <w:t xml:space="preserve">in </w:t>
      </w:r>
      <w:r w:rsidR="007A42F0" w:rsidRPr="00301629">
        <w:rPr>
          <w:rFonts w:ascii="Times New Roman" w:hAnsi="Times New Roman"/>
          <w:sz w:val="24"/>
          <w:szCs w:val="24"/>
        </w:rPr>
        <w:t xml:space="preserve">the </w:t>
      </w:r>
      <w:r w:rsidR="00A85A70" w:rsidRPr="00301629">
        <w:rPr>
          <w:rFonts w:ascii="Times New Roman" w:hAnsi="Times New Roman"/>
          <w:sz w:val="24"/>
          <w:szCs w:val="24"/>
        </w:rPr>
        <w:t>U</w:t>
      </w:r>
      <w:r w:rsidR="00546130" w:rsidRPr="00301629">
        <w:rPr>
          <w:rFonts w:ascii="Times New Roman" w:hAnsi="Times New Roman"/>
          <w:sz w:val="24"/>
          <w:szCs w:val="24"/>
        </w:rPr>
        <w:t xml:space="preserve">nited </w:t>
      </w:r>
      <w:r w:rsidR="00A85A70" w:rsidRPr="00301629">
        <w:rPr>
          <w:rFonts w:ascii="Times New Roman" w:hAnsi="Times New Roman"/>
          <w:sz w:val="24"/>
          <w:szCs w:val="24"/>
        </w:rPr>
        <w:t>S</w:t>
      </w:r>
      <w:r w:rsidR="00546130" w:rsidRPr="00301629">
        <w:rPr>
          <w:rFonts w:ascii="Times New Roman" w:hAnsi="Times New Roman"/>
          <w:sz w:val="24"/>
          <w:szCs w:val="24"/>
        </w:rPr>
        <w:t>tates</w:t>
      </w:r>
      <w:r w:rsidR="00A85A70" w:rsidRPr="00301629">
        <w:rPr>
          <w:rFonts w:ascii="Times New Roman" w:hAnsi="Times New Roman"/>
          <w:sz w:val="24"/>
          <w:szCs w:val="24"/>
        </w:rPr>
        <w:t xml:space="preserve"> (</w:t>
      </w:r>
      <w:r w:rsidR="00546130" w:rsidRPr="00301629">
        <w:rPr>
          <w:rFonts w:ascii="Times New Roman" w:hAnsi="Times New Roman"/>
          <w:sz w:val="24"/>
          <w:szCs w:val="24"/>
        </w:rPr>
        <w:t>e.g.</w:t>
      </w:r>
      <w:r w:rsidR="00317F9A">
        <w:rPr>
          <w:rFonts w:ascii="Times New Roman" w:hAnsi="Times New Roman"/>
          <w:sz w:val="24"/>
          <w:szCs w:val="24"/>
        </w:rPr>
        <w:t>,</w:t>
      </w:r>
      <w:r w:rsidR="00546130" w:rsidRPr="00301629">
        <w:rPr>
          <w:rFonts w:ascii="Times New Roman" w:hAnsi="Times New Roman"/>
          <w:sz w:val="24"/>
          <w:szCs w:val="24"/>
        </w:rPr>
        <w:t xml:space="preserve"> CDPH 2016, </w:t>
      </w:r>
      <w:r w:rsidR="00FC40E6" w:rsidRPr="00301629">
        <w:rPr>
          <w:rFonts w:ascii="Times New Roman" w:hAnsi="Times New Roman"/>
          <w:sz w:val="24"/>
          <w:szCs w:val="24"/>
        </w:rPr>
        <w:t>USEPA</w:t>
      </w:r>
      <w:r w:rsidR="00546130" w:rsidRPr="00301629">
        <w:rPr>
          <w:rFonts w:ascii="Times New Roman" w:hAnsi="Times New Roman"/>
          <w:sz w:val="24"/>
          <w:szCs w:val="24"/>
        </w:rPr>
        <w:t xml:space="preserve"> 2016)</w:t>
      </w:r>
      <w:r w:rsidRPr="00301629">
        <w:rPr>
          <w:rFonts w:ascii="Times New Roman" w:hAnsi="Times New Roman"/>
          <w:sz w:val="24"/>
          <w:szCs w:val="24"/>
        </w:rPr>
        <w:t>. We compare these results to life cycle analyses of bottled water provisioning as a substitute for PFAS-contaminated drinking water.</w:t>
      </w:r>
      <w:r w:rsidR="00EB6B17" w:rsidRPr="00301629">
        <w:rPr>
          <w:rFonts w:ascii="Times New Roman" w:hAnsi="Times New Roman"/>
          <w:sz w:val="24"/>
          <w:szCs w:val="24"/>
        </w:rPr>
        <w:t xml:space="preserve">  A contaminated aquifer at Wright-Patterson Air Force Base</w:t>
      </w:r>
      <w:r w:rsidR="004E4573">
        <w:rPr>
          <w:rFonts w:ascii="Times New Roman" w:hAnsi="Times New Roman"/>
          <w:sz w:val="24"/>
          <w:szCs w:val="24"/>
        </w:rPr>
        <w:t xml:space="preserve"> (WPAFB)</w:t>
      </w:r>
      <w:r w:rsidR="00EB6B17" w:rsidRPr="00301629">
        <w:rPr>
          <w:rFonts w:ascii="Times New Roman" w:hAnsi="Times New Roman"/>
          <w:sz w:val="24"/>
          <w:szCs w:val="24"/>
        </w:rPr>
        <w:t xml:space="preserve"> (Ohio, USA) served as case study for the analysis. </w:t>
      </w:r>
    </w:p>
    <w:p w14:paraId="464EDACE" w14:textId="77777777" w:rsidR="00317F9A" w:rsidRDefault="00317F9A" w:rsidP="00317F9A">
      <w:pPr>
        <w:pStyle w:val="Heading2"/>
        <w:spacing w:before="0" w:line="480" w:lineRule="auto"/>
        <w:rPr>
          <w:rFonts w:ascii="Times New Roman" w:hAnsi="Times New Roman"/>
          <w:sz w:val="24"/>
          <w:szCs w:val="24"/>
        </w:rPr>
      </w:pPr>
    </w:p>
    <w:p w14:paraId="1796F7CD" w14:textId="70BD96F4" w:rsidR="00063A07" w:rsidRPr="00317F9A" w:rsidRDefault="00317F9A" w:rsidP="00317F9A">
      <w:pPr>
        <w:pStyle w:val="Heading2"/>
        <w:spacing w:before="0" w:line="480" w:lineRule="auto"/>
        <w:rPr>
          <w:rFonts w:ascii="Times New Roman" w:hAnsi="Times New Roman"/>
          <w:b/>
          <w:bCs/>
          <w:color w:val="auto"/>
          <w:sz w:val="24"/>
          <w:szCs w:val="24"/>
        </w:rPr>
      </w:pPr>
      <w:proofErr w:type="gramStart"/>
      <w:r w:rsidRPr="00317F9A">
        <w:rPr>
          <w:rFonts w:ascii="Times New Roman" w:hAnsi="Times New Roman"/>
          <w:b/>
          <w:bCs/>
          <w:color w:val="auto"/>
          <w:sz w:val="24"/>
          <w:szCs w:val="24"/>
        </w:rPr>
        <w:t>2.0  Methods</w:t>
      </w:r>
      <w:proofErr w:type="gramEnd"/>
    </w:p>
    <w:p w14:paraId="3CBA3691" w14:textId="77777777" w:rsidR="00317F9A" w:rsidRDefault="00317F9A" w:rsidP="00317F9A">
      <w:pPr>
        <w:spacing w:after="0" w:line="480" w:lineRule="auto"/>
        <w:rPr>
          <w:rFonts w:ascii="Times New Roman" w:hAnsi="Times New Roman"/>
          <w:sz w:val="24"/>
          <w:szCs w:val="24"/>
        </w:rPr>
      </w:pPr>
    </w:p>
    <w:p w14:paraId="15AD3304" w14:textId="248250A2" w:rsidR="00063A07" w:rsidRDefault="00063A07" w:rsidP="00317F9A">
      <w:pPr>
        <w:spacing w:after="0" w:line="480" w:lineRule="auto"/>
        <w:rPr>
          <w:rFonts w:ascii="Times New Roman" w:hAnsi="Times New Roman"/>
          <w:sz w:val="24"/>
          <w:szCs w:val="24"/>
        </w:rPr>
      </w:pPr>
      <w:r w:rsidRPr="00301629">
        <w:rPr>
          <w:rFonts w:ascii="Times New Roman" w:hAnsi="Times New Roman"/>
          <w:sz w:val="24"/>
          <w:szCs w:val="24"/>
        </w:rPr>
        <w:t xml:space="preserve">We assembled life cycle models for clean water supply to residents of </w:t>
      </w:r>
      <w:r w:rsidR="004E4573">
        <w:rPr>
          <w:rFonts w:ascii="Times New Roman" w:hAnsi="Times New Roman"/>
          <w:sz w:val="24"/>
          <w:szCs w:val="24"/>
        </w:rPr>
        <w:t>WPAFB</w:t>
      </w:r>
      <w:r w:rsidRPr="00301629">
        <w:rPr>
          <w:rFonts w:ascii="Times New Roman" w:hAnsi="Times New Roman"/>
          <w:sz w:val="24"/>
          <w:szCs w:val="24"/>
        </w:rPr>
        <w:t xml:space="preserve"> near Dayton, Ohio where two groundwater production wells were recently taken out of service due to concerns related to PFAS contamination. Water supply scenarios include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and </w:t>
      </w:r>
      <w:r w:rsidRPr="00301629">
        <w:rPr>
          <w:rFonts w:ascii="Times New Roman" w:hAnsi="Times New Roman"/>
          <w:sz w:val="24"/>
          <w:szCs w:val="24"/>
        </w:rPr>
        <w:lastRenderedPageBreak/>
        <w:t xml:space="preserve">bottled water delivery. Two </w:t>
      </w:r>
      <w:r w:rsidR="002D549E" w:rsidRPr="00301629">
        <w:rPr>
          <w:rFonts w:ascii="Times New Roman" w:hAnsi="Times New Roman"/>
          <w:sz w:val="24"/>
          <w:szCs w:val="24"/>
        </w:rPr>
        <w:t>treatment</w:t>
      </w:r>
      <w:r w:rsidRPr="00301629">
        <w:rPr>
          <w:rFonts w:ascii="Times New Roman" w:hAnsi="Times New Roman"/>
          <w:sz w:val="24"/>
          <w:szCs w:val="24"/>
        </w:rPr>
        <w:t xml:space="preserve"> methods, granular activated carbon (GAC) filtration and ion-exchange columns (IEX) </w:t>
      </w:r>
      <w:r w:rsidR="00C026B1">
        <w:rPr>
          <w:rFonts w:ascii="Times New Roman" w:hAnsi="Times New Roman"/>
          <w:sz w:val="24"/>
          <w:szCs w:val="24"/>
        </w:rPr>
        <w:t>we</w:t>
      </w:r>
      <w:r w:rsidRPr="00301629">
        <w:rPr>
          <w:rFonts w:ascii="Times New Roman" w:hAnsi="Times New Roman"/>
          <w:sz w:val="24"/>
          <w:szCs w:val="24"/>
        </w:rPr>
        <w:t xml:space="preserve">re examined under a range of contaminant concentrations covering three orders of magnitude. Bottled water models </w:t>
      </w:r>
      <w:r w:rsidR="00C026B1">
        <w:rPr>
          <w:rFonts w:ascii="Times New Roman" w:hAnsi="Times New Roman"/>
          <w:sz w:val="24"/>
          <w:szCs w:val="24"/>
        </w:rPr>
        <w:t>we</w:t>
      </w:r>
      <w:r w:rsidRPr="00301629">
        <w:rPr>
          <w:rFonts w:ascii="Times New Roman" w:hAnsi="Times New Roman"/>
          <w:sz w:val="24"/>
          <w:szCs w:val="24"/>
        </w:rPr>
        <w:t>re based on two major data sources</w:t>
      </w:r>
      <w:r w:rsidR="00C026B1">
        <w:rPr>
          <w:rFonts w:ascii="Times New Roman" w:hAnsi="Times New Roman"/>
          <w:sz w:val="24"/>
          <w:szCs w:val="24"/>
        </w:rPr>
        <w:t>:</w:t>
      </w:r>
      <w:r w:rsidRPr="00301629">
        <w:rPr>
          <w:rFonts w:ascii="Times New Roman" w:hAnsi="Times New Roman"/>
          <w:sz w:val="24"/>
          <w:szCs w:val="24"/>
        </w:rPr>
        <w:t xml:space="preserve"> a prior life cycle study of beverage production with detailed process data for bottle manufacturing </w:t>
      </w:r>
      <w:bookmarkStart w:id="5" w:name="Mendeley_Bookmark_hVTpj5znZb"/>
      <w:r w:rsidRPr="00301629">
        <w:rPr>
          <w:rFonts w:ascii="Times New Roman" w:hAnsi="Times New Roman"/>
          <w:sz w:val="24"/>
          <w:szCs w:val="24"/>
        </w:rPr>
        <w:t>(</w:t>
      </w:r>
      <w:proofErr w:type="spellStart"/>
      <w:r w:rsidRPr="00301629">
        <w:rPr>
          <w:rFonts w:ascii="Times New Roman" w:hAnsi="Times New Roman"/>
          <w:sz w:val="24"/>
          <w:szCs w:val="24"/>
        </w:rPr>
        <w:t>Quantis</w:t>
      </w:r>
      <w:proofErr w:type="spellEnd"/>
      <w:r w:rsidRPr="00301629">
        <w:rPr>
          <w:rFonts w:ascii="Times New Roman" w:hAnsi="Times New Roman"/>
          <w:sz w:val="24"/>
          <w:szCs w:val="24"/>
        </w:rPr>
        <w:t xml:space="preserve"> 2010)</w:t>
      </w:r>
      <w:bookmarkEnd w:id="5"/>
      <w:r w:rsidRPr="00301629">
        <w:rPr>
          <w:rFonts w:ascii="Times New Roman" w:hAnsi="Times New Roman"/>
          <w:sz w:val="24"/>
          <w:szCs w:val="24"/>
        </w:rPr>
        <w:t xml:space="preserve"> and a broader review of the scientific literature.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1 shows the processes modeled in each scenario. Our analyses are based on a functional unit of 1 m</w:t>
      </w:r>
      <w:r w:rsidRPr="00301629">
        <w:rPr>
          <w:rFonts w:ascii="Times New Roman" w:hAnsi="Times New Roman"/>
          <w:sz w:val="24"/>
          <w:szCs w:val="24"/>
          <w:vertAlign w:val="superscript"/>
        </w:rPr>
        <w:t>3</w:t>
      </w:r>
      <w:r w:rsidRPr="00301629">
        <w:rPr>
          <w:rFonts w:ascii="Times New Roman" w:hAnsi="Times New Roman"/>
          <w:sz w:val="24"/>
          <w:szCs w:val="24"/>
        </w:rPr>
        <w:t xml:space="preserve"> of safe drinking water delivered to a residential customer at </w:t>
      </w:r>
      <w:r w:rsidR="004E4573">
        <w:rPr>
          <w:rFonts w:ascii="Times New Roman" w:hAnsi="Times New Roman"/>
          <w:sz w:val="24"/>
          <w:szCs w:val="24"/>
        </w:rPr>
        <w:t>WPAFB</w:t>
      </w:r>
      <w:r w:rsidRPr="00301629">
        <w:rPr>
          <w:rFonts w:ascii="Times New Roman" w:hAnsi="Times New Roman"/>
          <w:sz w:val="24"/>
          <w:szCs w:val="24"/>
        </w:rPr>
        <w:t xml:space="preserve">. </w:t>
      </w:r>
    </w:p>
    <w:p w14:paraId="7CA6EED8" w14:textId="524D58D9" w:rsidR="00C026B1" w:rsidRDefault="006755EF" w:rsidP="00317F9A">
      <w:pPr>
        <w:spacing w:after="0" w:line="480" w:lineRule="auto"/>
        <w:rPr>
          <w:rFonts w:ascii="Times New Roman" w:hAnsi="Times New Roman"/>
          <w:sz w:val="24"/>
          <w:szCs w:val="24"/>
        </w:rPr>
      </w:pPr>
      <w:r w:rsidRPr="006755EF">
        <w:rPr>
          <w:rFonts w:ascii="Times New Roman" w:hAnsi="Times New Roman"/>
          <w:sz w:val="24"/>
          <w:szCs w:val="24"/>
        </w:rPr>
        <w:drawing>
          <wp:inline distT="0" distB="0" distL="0" distR="0" wp14:anchorId="7C56565E" wp14:editId="6D39BB6C">
            <wp:extent cx="5943600" cy="391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14140"/>
                    </a:xfrm>
                    <a:prstGeom prst="rect">
                      <a:avLst/>
                    </a:prstGeom>
                  </pic:spPr>
                </pic:pic>
              </a:graphicData>
            </a:graphic>
          </wp:inline>
        </w:drawing>
      </w:r>
    </w:p>
    <w:p w14:paraId="54838F54" w14:textId="19FD1364" w:rsidR="00C026B1" w:rsidRPr="00C026B1" w:rsidRDefault="00C026B1" w:rsidP="00C026B1">
      <w:pPr>
        <w:spacing w:after="0" w:line="480" w:lineRule="auto"/>
        <w:jc w:val="center"/>
        <w:rPr>
          <w:rFonts w:ascii="Times New Roman" w:hAnsi="Times New Roman"/>
          <w:sz w:val="24"/>
          <w:szCs w:val="24"/>
        </w:rPr>
      </w:pPr>
      <w:r w:rsidRPr="006755EF">
        <w:rPr>
          <w:rFonts w:ascii="Times New Roman" w:hAnsi="Times New Roman"/>
          <w:sz w:val="24"/>
          <w:szCs w:val="24"/>
        </w:rPr>
        <w:t xml:space="preserve">Figure </w:t>
      </w:r>
      <w:r w:rsidR="002D1E76" w:rsidRPr="006755EF">
        <w:rPr>
          <w:rFonts w:ascii="Times New Roman" w:hAnsi="Times New Roman"/>
          <w:sz w:val="24"/>
          <w:szCs w:val="24"/>
        </w:rPr>
        <w:t>E5</w:t>
      </w:r>
      <w:r w:rsidR="008E6EED" w:rsidRPr="006755EF">
        <w:rPr>
          <w:rFonts w:ascii="Times New Roman" w:hAnsi="Times New Roman"/>
          <w:sz w:val="24"/>
          <w:szCs w:val="24"/>
        </w:rPr>
        <w:t>.</w:t>
      </w:r>
      <w:r w:rsidRPr="006755EF">
        <w:rPr>
          <w:rFonts w:ascii="Times New Roman" w:hAnsi="Times New Roman"/>
          <w:sz w:val="24"/>
          <w:szCs w:val="24"/>
        </w:rPr>
        <w:t>1. System diagram of stages included in life cycle assessment of water supply scenarios. Stages below the dashed line are not included in the analysis.</w:t>
      </w:r>
    </w:p>
    <w:p w14:paraId="63F54C78" w14:textId="77777777" w:rsidR="00C026B1" w:rsidRPr="00301629" w:rsidRDefault="00C026B1" w:rsidP="00317F9A">
      <w:pPr>
        <w:spacing w:after="0" w:line="480" w:lineRule="auto"/>
        <w:rPr>
          <w:rFonts w:ascii="Times New Roman" w:hAnsi="Times New Roman"/>
          <w:sz w:val="24"/>
          <w:szCs w:val="24"/>
        </w:rPr>
      </w:pPr>
    </w:p>
    <w:p w14:paraId="591F2110" w14:textId="62B50F78" w:rsidR="00063A07" w:rsidRPr="00C026B1" w:rsidRDefault="00C026B1" w:rsidP="00C026B1">
      <w:pPr>
        <w:pStyle w:val="Heading3"/>
        <w:numPr>
          <w:ilvl w:val="1"/>
          <w:numId w:val="2"/>
        </w:numPr>
        <w:spacing w:before="0" w:line="480" w:lineRule="auto"/>
        <w:rPr>
          <w:rFonts w:ascii="Times New Roman" w:hAnsi="Times New Roman"/>
          <w:b/>
          <w:bCs/>
          <w:color w:val="auto"/>
        </w:rPr>
      </w:pPr>
      <w:r w:rsidRPr="00C026B1">
        <w:rPr>
          <w:rFonts w:ascii="Times New Roman" w:hAnsi="Times New Roman"/>
          <w:b/>
          <w:bCs/>
          <w:color w:val="auto"/>
        </w:rPr>
        <w:lastRenderedPageBreak/>
        <w:t xml:space="preserve"> </w:t>
      </w:r>
      <w:r w:rsidR="00063A07" w:rsidRPr="00C026B1">
        <w:rPr>
          <w:rFonts w:ascii="Times New Roman" w:hAnsi="Times New Roman"/>
          <w:b/>
          <w:bCs/>
          <w:color w:val="auto"/>
        </w:rPr>
        <w:t>Site data and infrastructure</w:t>
      </w:r>
    </w:p>
    <w:p w14:paraId="1A4446FF" w14:textId="4EED157F" w:rsidR="00063A07" w:rsidRPr="00301629" w:rsidRDefault="00063A07" w:rsidP="00C026B1">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Site data and infrastructure are based on designs for a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system at </w:t>
      </w:r>
      <w:r w:rsidR="004E4573">
        <w:rPr>
          <w:rFonts w:ascii="Times New Roman" w:hAnsi="Times New Roman"/>
          <w:sz w:val="24"/>
          <w:szCs w:val="24"/>
        </w:rPr>
        <w:t>WPAFB</w:t>
      </w:r>
      <w:r w:rsidRPr="00301629">
        <w:rPr>
          <w:rFonts w:ascii="Times New Roman" w:hAnsi="Times New Roman"/>
          <w:sz w:val="24"/>
          <w:szCs w:val="24"/>
        </w:rPr>
        <w:t>. The planned facility will treat 3</w:t>
      </w:r>
      <w:r w:rsidR="00C71B77">
        <w:rPr>
          <w:rFonts w:ascii="Times New Roman" w:hAnsi="Times New Roman"/>
          <w:sz w:val="24"/>
          <w:szCs w:val="24"/>
        </w:rPr>
        <w:t>,</w:t>
      </w:r>
      <w:r w:rsidRPr="00301629">
        <w:rPr>
          <w:rFonts w:ascii="Times New Roman" w:hAnsi="Times New Roman"/>
          <w:sz w:val="24"/>
          <w:szCs w:val="24"/>
        </w:rPr>
        <w:t>800 m</w:t>
      </w:r>
      <w:r w:rsidRPr="00301629">
        <w:rPr>
          <w:rFonts w:ascii="Times New Roman" w:hAnsi="Times New Roman"/>
          <w:sz w:val="24"/>
          <w:szCs w:val="24"/>
          <w:vertAlign w:val="superscript"/>
        </w:rPr>
        <w:t>3</w:t>
      </w:r>
      <w:r w:rsidRPr="00301629">
        <w:rPr>
          <w:rFonts w:ascii="Times New Roman" w:hAnsi="Times New Roman"/>
          <w:sz w:val="24"/>
          <w:szCs w:val="24"/>
        </w:rPr>
        <w:t xml:space="preserve"> of groundwater per day from one contaminated well. Treated water enters a system supplying 1</w:t>
      </w:r>
      <w:r w:rsidR="00C71B77">
        <w:rPr>
          <w:rFonts w:ascii="Times New Roman" w:hAnsi="Times New Roman"/>
          <w:sz w:val="24"/>
          <w:szCs w:val="24"/>
        </w:rPr>
        <w:t>,</w:t>
      </w:r>
      <w:r w:rsidRPr="00301629">
        <w:rPr>
          <w:rFonts w:ascii="Times New Roman" w:hAnsi="Times New Roman"/>
          <w:sz w:val="24"/>
          <w:szCs w:val="24"/>
        </w:rPr>
        <w:t>290 permanent residents and an average weekday population of 16</w:t>
      </w:r>
      <w:r w:rsidR="00C71B77">
        <w:rPr>
          <w:rFonts w:ascii="Times New Roman" w:hAnsi="Times New Roman"/>
          <w:sz w:val="24"/>
          <w:szCs w:val="24"/>
        </w:rPr>
        <w:t>,</w:t>
      </w:r>
      <w:r w:rsidRPr="00301629">
        <w:rPr>
          <w:rFonts w:ascii="Times New Roman" w:hAnsi="Times New Roman"/>
          <w:sz w:val="24"/>
          <w:szCs w:val="24"/>
        </w:rPr>
        <w:t xml:space="preserve">550. The </w:t>
      </w:r>
      <w:r w:rsidR="002D549E" w:rsidRPr="00301629">
        <w:rPr>
          <w:rFonts w:ascii="Times New Roman" w:hAnsi="Times New Roman"/>
          <w:sz w:val="24"/>
          <w:szCs w:val="24"/>
        </w:rPr>
        <w:t>treatment</w:t>
      </w:r>
      <w:r w:rsidRPr="00301629">
        <w:rPr>
          <w:rFonts w:ascii="Times New Roman" w:hAnsi="Times New Roman"/>
          <w:sz w:val="24"/>
          <w:szCs w:val="24"/>
        </w:rPr>
        <w:t xml:space="preserve"> equipment will be housed in a 280 m</w:t>
      </w:r>
      <w:r w:rsidRPr="00301629">
        <w:rPr>
          <w:rFonts w:ascii="Times New Roman" w:hAnsi="Times New Roman"/>
          <w:sz w:val="24"/>
          <w:szCs w:val="24"/>
          <w:vertAlign w:val="superscript"/>
        </w:rPr>
        <w:t>2</w:t>
      </w:r>
      <w:r w:rsidRPr="00301629">
        <w:rPr>
          <w:rFonts w:ascii="Times New Roman" w:hAnsi="Times New Roman"/>
          <w:sz w:val="24"/>
          <w:szCs w:val="24"/>
        </w:rPr>
        <w:t xml:space="preserve"> facility designed and built for this purpose. Site infrastructure for the </w:t>
      </w:r>
      <w:r w:rsidR="002D549E" w:rsidRPr="00301629">
        <w:rPr>
          <w:rFonts w:ascii="Times New Roman" w:hAnsi="Times New Roman"/>
          <w:sz w:val="24"/>
          <w:szCs w:val="24"/>
        </w:rPr>
        <w:t>treatment</w:t>
      </w:r>
      <w:r w:rsidRPr="00301629">
        <w:rPr>
          <w:rFonts w:ascii="Times New Roman" w:hAnsi="Times New Roman"/>
          <w:sz w:val="24"/>
          <w:szCs w:val="24"/>
        </w:rPr>
        <w:t xml:space="preserve"> site is included based on architectural designs supplied by Legacy Building Solutions, </w:t>
      </w:r>
      <w:proofErr w:type="gramStart"/>
      <w:r w:rsidRPr="00301629">
        <w:rPr>
          <w:rFonts w:ascii="Times New Roman" w:hAnsi="Times New Roman"/>
          <w:sz w:val="24"/>
          <w:szCs w:val="24"/>
        </w:rPr>
        <w:t>Inc.</w:t>
      </w:r>
      <w:proofErr w:type="gramEnd"/>
      <w:r w:rsidRPr="00301629">
        <w:rPr>
          <w:rFonts w:ascii="Times New Roman" w:hAnsi="Times New Roman"/>
          <w:sz w:val="24"/>
          <w:szCs w:val="24"/>
        </w:rPr>
        <w:t xml:space="preserve"> and industry standards for construction materials. Infrastructure for the treatment system, including contactors, pipe, fittings, and corrosion-resistant coatings of internal surfaces, are included in our model. GAC use rates and IEX column regeneration frequency were calculated for </w:t>
      </w:r>
      <w:r w:rsidR="002D549E" w:rsidRPr="00301629">
        <w:rPr>
          <w:rFonts w:ascii="Times New Roman" w:hAnsi="Times New Roman"/>
          <w:sz w:val="24"/>
          <w:szCs w:val="24"/>
        </w:rPr>
        <w:t>treatment</w:t>
      </w:r>
      <w:r w:rsidRPr="00301629">
        <w:rPr>
          <w:rFonts w:ascii="Times New Roman" w:hAnsi="Times New Roman"/>
          <w:sz w:val="24"/>
          <w:szCs w:val="24"/>
        </w:rPr>
        <w:t xml:space="preserve"> of groundwater at 0.7, 7.0, and 70 µg/L</w:t>
      </w:r>
      <w:r w:rsidR="00922A28" w:rsidRPr="00301629">
        <w:rPr>
          <w:rFonts w:ascii="Times New Roman" w:hAnsi="Times New Roman"/>
          <w:sz w:val="24"/>
          <w:szCs w:val="24"/>
        </w:rPr>
        <w:t xml:space="preserve"> (</w:t>
      </w:r>
      <w:r w:rsidR="00BB2781" w:rsidRPr="00301629">
        <w:rPr>
          <w:rFonts w:ascii="Times New Roman" w:hAnsi="Times New Roman"/>
          <w:sz w:val="24"/>
          <w:szCs w:val="24"/>
        </w:rPr>
        <w:t>m</w:t>
      </w:r>
      <w:r w:rsidR="00922A28" w:rsidRPr="00301629">
        <w:rPr>
          <w:rFonts w:ascii="Times New Roman" w:hAnsi="Times New Roman"/>
          <w:sz w:val="24"/>
          <w:szCs w:val="24"/>
        </w:rPr>
        <w:t>icrograms per liter)</w:t>
      </w:r>
      <w:r w:rsidRPr="00301629">
        <w:rPr>
          <w:rFonts w:ascii="Times New Roman" w:hAnsi="Times New Roman"/>
          <w:sz w:val="24"/>
          <w:szCs w:val="24"/>
        </w:rPr>
        <w:t xml:space="preserve"> combined PFOA and PFOS concentrations, reflecting the range of contaminant concentrations at several USAF installations </w:t>
      </w:r>
      <w:bookmarkStart w:id="6" w:name="Mendeley_Bookmark_YzTeTP5Zjm"/>
      <w:r w:rsidRPr="00301629">
        <w:rPr>
          <w:rFonts w:ascii="Times New Roman" w:hAnsi="Times New Roman"/>
          <w:sz w:val="24"/>
          <w:szCs w:val="24"/>
        </w:rPr>
        <w:t>(Anderson et al. 2016)</w:t>
      </w:r>
      <w:bookmarkEnd w:id="6"/>
      <w:r w:rsidRPr="00301629">
        <w:rPr>
          <w:rFonts w:ascii="Times New Roman" w:hAnsi="Times New Roman"/>
          <w:sz w:val="24"/>
          <w:szCs w:val="24"/>
        </w:rPr>
        <w:t>.</w:t>
      </w:r>
    </w:p>
    <w:p w14:paraId="4864527E" w14:textId="77777777" w:rsidR="00063A07" w:rsidRPr="00301629" w:rsidRDefault="00063A07" w:rsidP="00301629">
      <w:pPr>
        <w:spacing w:after="0" w:line="480" w:lineRule="auto"/>
        <w:rPr>
          <w:rFonts w:ascii="Times New Roman" w:hAnsi="Times New Roman"/>
          <w:sz w:val="24"/>
          <w:szCs w:val="24"/>
        </w:rPr>
      </w:pPr>
    </w:p>
    <w:p w14:paraId="4BBD8BE8" w14:textId="6BB1213A" w:rsidR="00063A07" w:rsidRPr="00C71B77" w:rsidRDefault="00C71B77" w:rsidP="00C71B77">
      <w:pPr>
        <w:pStyle w:val="Heading3"/>
        <w:numPr>
          <w:ilvl w:val="1"/>
          <w:numId w:val="2"/>
        </w:numPr>
        <w:spacing w:before="0" w:line="480" w:lineRule="auto"/>
        <w:rPr>
          <w:rFonts w:ascii="Times New Roman" w:hAnsi="Times New Roman"/>
          <w:b/>
          <w:bCs/>
          <w:color w:val="auto"/>
        </w:rPr>
      </w:pPr>
      <w:r w:rsidRPr="00C71B77">
        <w:rPr>
          <w:rFonts w:ascii="Times New Roman" w:hAnsi="Times New Roman"/>
          <w:b/>
          <w:bCs/>
          <w:color w:val="auto"/>
        </w:rPr>
        <w:t xml:space="preserve"> </w:t>
      </w:r>
      <w:r w:rsidR="00063A07" w:rsidRPr="00C71B77">
        <w:rPr>
          <w:rFonts w:ascii="Times New Roman" w:hAnsi="Times New Roman"/>
          <w:b/>
          <w:bCs/>
          <w:color w:val="auto"/>
        </w:rPr>
        <w:t xml:space="preserve">GAC-based </w:t>
      </w:r>
      <w:r w:rsidR="002D549E" w:rsidRPr="00C71B77">
        <w:rPr>
          <w:rFonts w:ascii="Times New Roman" w:hAnsi="Times New Roman"/>
          <w:b/>
          <w:bCs/>
          <w:color w:val="auto"/>
        </w:rPr>
        <w:t>Treatment</w:t>
      </w:r>
      <w:r w:rsidR="00063A07" w:rsidRPr="00C71B77">
        <w:rPr>
          <w:rFonts w:ascii="Times New Roman" w:hAnsi="Times New Roman"/>
          <w:b/>
          <w:bCs/>
          <w:color w:val="auto"/>
        </w:rPr>
        <w:t xml:space="preserve"> System</w:t>
      </w:r>
    </w:p>
    <w:p w14:paraId="41AD1ED8" w14:textId="23E6904C" w:rsidR="00063A07" w:rsidRPr="00301629" w:rsidRDefault="00063A07" w:rsidP="00C71B77">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Model data GAC treatment of PFAS contaminated water is </w:t>
      </w:r>
      <w:proofErr w:type="gramStart"/>
      <w:r w:rsidRPr="00301629">
        <w:rPr>
          <w:rFonts w:ascii="Times New Roman" w:hAnsi="Times New Roman"/>
          <w:sz w:val="24"/>
          <w:szCs w:val="24"/>
        </w:rPr>
        <w:t>based in large part on</w:t>
      </w:r>
      <w:proofErr w:type="gramEnd"/>
      <w:r w:rsidRPr="00301629">
        <w:rPr>
          <w:rFonts w:ascii="Times New Roman" w:hAnsi="Times New Roman"/>
          <w:sz w:val="24"/>
          <w:szCs w:val="24"/>
        </w:rPr>
        <w:t xml:space="preserve"> a report of energy consumption and GAC use rates at a similar facility currently in operation (personal communication, Ryan </w:t>
      </w:r>
      <w:proofErr w:type="spellStart"/>
      <w:r w:rsidRPr="00301629">
        <w:rPr>
          <w:rFonts w:ascii="Times New Roman" w:hAnsi="Times New Roman"/>
          <w:sz w:val="24"/>
          <w:szCs w:val="24"/>
        </w:rPr>
        <w:t>Morrish</w:t>
      </w:r>
      <w:proofErr w:type="spellEnd"/>
      <w:r w:rsidRPr="00301629">
        <w:rPr>
          <w:rFonts w:ascii="Times New Roman" w:hAnsi="Times New Roman"/>
          <w:sz w:val="24"/>
          <w:szCs w:val="24"/>
        </w:rPr>
        <w:t>, 11 November 2016). The model system pumps contaminated groundwater through two contactors in series each containing 9</w:t>
      </w:r>
      <w:r w:rsidR="009E77C0">
        <w:rPr>
          <w:rFonts w:ascii="Times New Roman" w:hAnsi="Times New Roman"/>
          <w:sz w:val="24"/>
          <w:szCs w:val="24"/>
        </w:rPr>
        <w:t>,</w:t>
      </w:r>
      <w:r w:rsidRPr="00301629">
        <w:rPr>
          <w:rFonts w:ascii="Times New Roman" w:hAnsi="Times New Roman"/>
          <w:sz w:val="24"/>
          <w:szCs w:val="24"/>
        </w:rPr>
        <w:t xml:space="preserve">100 kg GAC. When breakthrough is detected in the primary </w:t>
      </w:r>
      <w:proofErr w:type="spellStart"/>
      <w:r w:rsidRPr="00301629">
        <w:rPr>
          <w:rFonts w:ascii="Times New Roman" w:hAnsi="Times New Roman"/>
          <w:sz w:val="24"/>
          <w:szCs w:val="24"/>
        </w:rPr>
        <w:t>contactor</w:t>
      </w:r>
      <w:proofErr w:type="spellEnd"/>
      <w:r w:rsidRPr="00301629">
        <w:rPr>
          <w:rFonts w:ascii="Times New Roman" w:hAnsi="Times New Roman"/>
          <w:sz w:val="24"/>
          <w:szCs w:val="24"/>
        </w:rPr>
        <w:t xml:space="preserve">, the used GAC is removed and replaced. Activated carbon production from bituminous coal was modeled primarily based on previous studies </w:t>
      </w:r>
      <w:bookmarkStart w:id="7" w:name="Mendeley_Bookmark_frvCanHpwM"/>
      <w:r w:rsidRPr="00301629">
        <w:rPr>
          <w:rFonts w:ascii="Times New Roman" w:hAnsi="Times New Roman"/>
          <w:sz w:val="24"/>
          <w:szCs w:val="24"/>
        </w:rPr>
        <w:t>(Bayer and Finkel 2006</w:t>
      </w:r>
      <w:r w:rsidR="007A2FBB">
        <w:rPr>
          <w:rFonts w:ascii="Times New Roman" w:hAnsi="Times New Roman"/>
          <w:sz w:val="24"/>
          <w:szCs w:val="24"/>
        </w:rPr>
        <w:t>,</w:t>
      </w:r>
      <w:r w:rsidRPr="00301629">
        <w:rPr>
          <w:rFonts w:ascii="Times New Roman" w:hAnsi="Times New Roman"/>
          <w:sz w:val="24"/>
          <w:szCs w:val="24"/>
        </w:rPr>
        <w:t xml:space="preserve"> </w:t>
      </w:r>
      <w:proofErr w:type="spellStart"/>
      <w:r w:rsidRPr="00301629">
        <w:rPr>
          <w:rFonts w:ascii="Times New Roman" w:hAnsi="Times New Roman"/>
          <w:sz w:val="24"/>
          <w:szCs w:val="24"/>
        </w:rPr>
        <w:t>Jeswani</w:t>
      </w:r>
      <w:proofErr w:type="spellEnd"/>
      <w:r w:rsidRPr="00301629">
        <w:rPr>
          <w:rFonts w:ascii="Times New Roman" w:hAnsi="Times New Roman"/>
          <w:sz w:val="24"/>
          <w:szCs w:val="24"/>
        </w:rPr>
        <w:t xml:space="preserve"> et al. 2015)</w:t>
      </w:r>
      <w:bookmarkEnd w:id="7"/>
      <w:r w:rsidRPr="00301629">
        <w:rPr>
          <w:rFonts w:ascii="Times New Roman" w:hAnsi="Times New Roman"/>
          <w:sz w:val="24"/>
          <w:szCs w:val="24"/>
        </w:rPr>
        <w:t xml:space="preserve"> supplemented with energy use data from Calgon Carbon, Inc (personal communication, Kendra Ryan, 7 December 2016) and waste ash </w:t>
      </w:r>
      <w:r w:rsidRPr="00301629">
        <w:rPr>
          <w:rFonts w:ascii="Times New Roman" w:hAnsi="Times New Roman"/>
          <w:sz w:val="24"/>
          <w:szCs w:val="24"/>
        </w:rPr>
        <w:lastRenderedPageBreak/>
        <w:t>production estimate from Isla-</w:t>
      </w:r>
      <w:proofErr w:type="spellStart"/>
      <w:r w:rsidRPr="00301629">
        <w:rPr>
          <w:rFonts w:ascii="Times New Roman" w:hAnsi="Times New Roman"/>
          <w:sz w:val="24"/>
          <w:szCs w:val="24"/>
        </w:rPr>
        <w:t>Cabaraban</w:t>
      </w:r>
      <w:proofErr w:type="spellEnd"/>
      <w:r w:rsidRPr="00301629">
        <w:rPr>
          <w:rFonts w:ascii="Times New Roman" w:hAnsi="Times New Roman"/>
          <w:sz w:val="24"/>
          <w:szCs w:val="24"/>
        </w:rPr>
        <w:t xml:space="preserve"> et al. </w:t>
      </w:r>
      <w:bookmarkStart w:id="8" w:name="Mendeley_Bookmark_zsaImwIblV"/>
      <w:r w:rsidRPr="00301629">
        <w:rPr>
          <w:rFonts w:ascii="Times New Roman" w:hAnsi="Times New Roman"/>
          <w:sz w:val="24"/>
          <w:szCs w:val="24"/>
        </w:rPr>
        <w:t>(Isla-</w:t>
      </w:r>
      <w:proofErr w:type="spellStart"/>
      <w:r w:rsidRPr="00301629">
        <w:rPr>
          <w:rFonts w:ascii="Times New Roman" w:hAnsi="Times New Roman"/>
          <w:sz w:val="24"/>
          <w:szCs w:val="24"/>
        </w:rPr>
        <w:t>cabaraban</w:t>
      </w:r>
      <w:proofErr w:type="spellEnd"/>
      <w:r w:rsidRPr="00301629">
        <w:rPr>
          <w:rFonts w:ascii="Times New Roman" w:hAnsi="Times New Roman"/>
          <w:sz w:val="24"/>
          <w:szCs w:val="24"/>
        </w:rPr>
        <w:t xml:space="preserve"> et al. 2016)</w:t>
      </w:r>
      <w:bookmarkEnd w:id="8"/>
      <w:r w:rsidRPr="00301629">
        <w:rPr>
          <w:rFonts w:ascii="Times New Roman" w:hAnsi="Times New Roman"/>
          <w:sz w:val="24"/>
          <w:szCs w:val="24"/>
        </w:rPr>
        <w:t xml:space="preserve">. We model GAC use rates based upon an adsorption capacity of 0.11 g </w:t>
      </w:r>
      <w:r w:rsidR="006A417F">
        <w:rPr>
          <w:rFonts w:ascii="Times New Roman" w:hAnsi="Times New Roman"/>
          <w:sz w:val="24"/>
          <w:szCs w:val="24"/>
        </w:rPr>
        <w:t>PFAS</w:t>
      </w:r>
      <w:r w:rsidRPr="00301629">
        <w:rPr>
          <w:rFonts w:ascii="Times New Roman" w:hAnsi="Times New Roman"/>
          <w:sz w:val="24"/>
          <w:szCs w:val="24"/>
        </w:rPr>
        <w:t xml:space="preserve"> per kg GAC at anticipated system operating conditions </w:t>
      </w:r>
      <w:bookmarkStart w:id="9" w:name="Mendeley_Bookmark_F6WffNPCqr"/>
      <w:r w:rsidRPr="00301629">
        <w:rPr>
          <w:rFonts w:ascii="Times New Roman" w:hAnsi="Times New Roman"/>
          <w:sz w:val="24"/>
          <w:szCs w:val="24"/>
        </w:rPr>
        <w:t>(</w:t>
      </w:r>
      <w:proofErr w:type="spellStart"/>
      <w:r w:rsidRPr="00301629">
        <w:rPr>
          <w:rFonts w:ascii="Times New Roman" w:hAnsi="Times New Roman"/>
          <w:sz w:val="24"/>
          <w:szCs w:val="24"/>
        </w:rPr>
        <w:t>Amec</w:t>
      </w:r>
      <w:proofErr w:type="spellEnd"/>
      <w:r w:rsidRPr="00301629">
        <w:rPr>
          <w:rFonts w:ascii="Times New Roman" w:hAnsi="Times New Roman"/>
          <w:sz w:val="24"/>
          <w:szCs w:val="24"/>
        </w:rPr>
        <w:t xml:space="preserve"> Foster Wheeler 2017)</w:t>
      </w:r>
      <w:bookmarkEnd w:id="9"/>
      <w:r w:rsidRPr="00301629">
        <w:rPr>
          <w:rFonts w:ascii="Times New Roman" w:hAnsi="Times New Roman"/>
          <w:sz w:val="24"/>
          <w:szCs w:val="24"/>
        </w:rPr>
        <w:t>.</w:t>
      </w:r>
    </w:p>
    <w:p w14:paraId="72B4D0B2" w14:textId="5CAA0AB1" w:rsidR="00063A07" w:rsidRPr="00301629" w:rsidRDefault="00063A07" w:rsidP="009E77C0">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A key component of our </w:t>
      </w:r>
      <w:r w:rsidR="002D549E" w:rsidRPr="00301629">
        <w:rPr>
          <w:rFonts w:ascii="Times New Roman" w:hAnsi="Times New Roman"/>
          <w:sz w:val="24"/>
          <w:szCs w:val="24"/>
        </w:rPr>
        <w:t>treatment</w:t>
      </w:r>
      <w:r w:rsidRPr="00301629">
        <w:rPr>
          <w:rFonts w:ascii="Times New Roman" w:hAnsi="Times New Roman"/>
          <w:sz w:val="24"/>
          <w:szCs w:val="24"/>
        </w:rPr>
        <w:t xml:space="preserve"> system is the reactivation of used GAC. Used GAC is transported by truck to a central reactivation facility where application of heat and steam degrades and removes contaminants, restoring most of the treatment potential of the carbon. Our model includes complete reactivation of used carbon</w:t>
      </w:r>
      <w:r w:rsidR="00ED3A03" w:rsidRPr="00301629">
        <w:rPr>
          <w:rFonts w:ascii="Times New Roman" w:hAnsi="Times New Roman"/>
          <w:sz w:val="24"/>
          <w:szCs w:val="24"/>
        </w:rPr>
        <w:t xml:space="preserve">. </w:t>
      </w:r>
      <w:r w:rsidR="009E77C0">
        <w:rPr>
          <w:rFonts w:ascii="Times New Roman" w:hAnsi="Times New Roman"/>
          <w:sz w:val="24"/>
          <w:szCs w:val="24"/>
        </w:rPr>
        <w:t>Ten percent</w:t>
      </w:r>
      <w:r w:rsidRPr="00301629">
        <w:rPr>
          <w:rFonts w:ascii="Times New Roman" w:hAnsi="Times New Roman"/>
          <w:sz w:val="24"/>
          <w:szCs w:val="24"/>
        </w:rPr>
        <w:t xml:space="preserve"> </w:t>
      </w:r>
      <w:r w:rsidR="007A42F0" w:rsidRPr="00301629">
        <w:rPr>
          <w:rFonts w:ascii="Times New Roman" w:hAnsi="Times New Roman"/>
          <w:sz w:val="24"/>
          <w:szCs w:val="24"/>
        </w:rPr>
        <w:t xml:space="preserve">of </w:t>
      </w:r>
      <w:r w:rsidR="00ED3A03" w:rsidRPr="00301629">
        <w:rPr>
          <w:rFonts w:ascii="Times New Roman" w:hAnsi="Times New Roman"/>
          <w:sz w:val="24"/>
          <w:szCs w:val="24"/>
        </w:rPr>
        <w:t xml:space="preserve">carbon </w:t>
      </w:r>
      <w:r w:rsidRPr="00301629">
        <w:rPr>
          <w:rFonts w:ascii="Times New Roman" w:hAnsi="Times New Roman"/>
          <w:sz w:val="24"/>
          <w:szCs w:val="24"/>
        </w:rPr>
        <w:t xml:space="preserve">mass </w:t>
      </w:r>
      <w:r w:rsidR="007A42F0" w:rsidRPr="00301629">
        <w:rPr>
          <w:rFonts w:ascii="Times New Roman" w:hAnsi="Times New Roman"/>
          <w:sz w:val="24"/>
          <w:szCs w:val="24"/>
        </w:rPr>
        <w:t xml:space="preserve">is lost during reactivation which is </w:t>
      </w:r>
      <w:r w:rsidR="00814E5E" w:rsidRPr="00301629">
        <w:rPr>
          <w:rFonts w:ascii="Times New Roman" w:hAnsi="Times New Roman"/>
          <w:sz w:val="24"/>
          <w:szCs w:val="24"/>
        </w:rPr>
        <w:t>compensated by addition</w:t>
      </w:r>
      <w:r w:rsidR="007A42F0" w:rsidRPr="00301629">
        <w:rPr>
          <w:rFonts w:ascii="Times New Roman" w:hAnsi="Times New Roman"/>
          <w:sz w:val="24"/>
          <w:szCs w:val="24"/>
        </w:rPr>
        <w:t xml:space="preserve"> </w:t>
      </w:r>
      <w:r w:rsidR="00814E5E" w:rsidRPr="00301629">
        <w:rPr>
          <w:rFonts w:ascii="Times New Roman" w:hAnsi="Times New Roman"/>
          <w:sz w:val="24"/>
          <w:szCs w:val="24"/>
        </w:rPr>
        <w:t xml:space="preserve">of </w:t>
      </w:r>
      <w:r w:rsidRPr="00301629">
        <w:rPr>
          <w:rFonts w:ascii="Times New Roman" w:hAnsi="Times New Roman"/>
          <w:sz w:val="24"/>
          <w:szCs w:val="24"/>
        </w:rPr>
        <w:t>fresh GAC</w:t>
      </w:r>
      <w:r w:rsidR="00814E5E" w:rsidRPr="00301629">
        <w:rPr>
          <w:rFonts w:ascii="Times New Roman" w:hAnsi="Times New Roman"/>
          <w:sz w:val="24"/>
          <w:szCs w:val="24"/>
        </w:rPr>
        <w:t xml:space="preserve"> on an equivalent mass basis</w:t>
      </w:r>
      <w:r w:rsidRPr="00301629">
        <w:rPr>
          <w:rFonts w:ascii="Times New Roman" w:hAnsi="Times New Roman"/>
          <w:sz w:val="24"/>
          <w:szCs w:val="24"/>
        </w:rPr>
        <w:t xml:space="preserve">. Water and energy use during reactivation are from the available literature </w:t>
      </w:r>
      <w:bookmarkStart w:id="10" w:name="Mendeley_Bookmark_8kJIZSIIvc"/>
      <w:r w:rsidRPr="00301629">
        <w:rPr>
          <w:rFonts w:ascii="Times New Roman" w:hAnsi="Times New Roman"/>
          <w:sz w:val="24"/>
          <w:szCs w:val="24"/>
        </w:rPr>
        <w:t>(Hutchinson 1975</w:t>
      </w:r>
      <w:r w:rsidR="007A2FBB">
        <w:rPr>
          <w:rFonts w:ascii="Times New Roman" w:hAnsi="Times New Roman"/>
          <w:sz w:val="24"/>
          <w:szCs w:val="24"/>
        </w:rPr>
        <w:t>,</w:t>
      </w:r>
      <w:r w:rsidRPr="00301629">
        <w:rPr>
          <w:rFonts w:ascii="Times New Roman" w:hAnsi="Times New Roman"/>
          <w:sz w:val="24"/>
          <w:szCs w:val="24"/>
        </w:rPr>
        <w:t xml:space="preserve"> Isla-</w:t>
      </w:r>
      <w:proofErr w:type="spellStart"/>
      <w:r w:rsidRPr="00301629">
        <w:rPr>
          <w:rFonts w:ascii="Times New Roman" w:hAnsi="Times New Roman"/>
          <w:sz w:val="24"/>
          <w:szCs w:val="24"/>
        </w:rPr>
        <w:t>cabaraban</w:t>
      </w:r>
      <w:proofErr w:type="spellEnd"/>
      <w:r w:rsidRPr="00301629">
        <w:rPr>
          <w:rFonts w:ascii="Times New Roman" w:hAnsi="Times New Roman"/>
          <w:sz w:val="24"/>
          <w:szCs w:val="24"/>
        </w:rPr>
        <w:t xml:space="preserve"> et al. 2016</w:t>
      </w:r>
      <w:r w:rsidR="007A2FBB">
        <w:rPr>
          <w:rFonts w:ascii="Times New Roman" w:hAnsi="Times New Roman"/>
          <w:sz w:val="24"/>
          <w:szCs w:val="24"/>
        </w:rPr>
        <w:t>,</w:t>
      </w:r>
      <w:r w:rsidRPr="00301629">
        <w:rPr>
          <w:rFonts w:ascii="Times New Roman" w:hAnsi="Times New Roman"/>
          <w:sz w:val="24"/>
          <w:szCs w:val="24"/>
        </w:rPr>
        <w:t xml:space="preserve"> </w:t>
      </w:r>
      <w:proofErr w:type="spellStart"/>
      <w:r w:rsidRPr="00301629">
        <w:rPr>
          <w:rFonts w:ascii="Times New Roman" w:hAnsi="Times New Roman"/>
          <w:sz w:val="24"/>
          <w:szCs w:val="24"/>
        </w:rPr>
        <w:t>Jeswani</w:t>
      </w:r>
      <w:proofErr w:type="spellEnd"/>
      <w:r w:rsidRPr="00301629">
        <w:rPr>
          <w:rFonts w:ascii="Times New Roman" w:hAnsi="Times New Roman"/>
          <w:sz w:val="24"/>
          <w:szCs w:val="24"/>
        </w:rPr>
        <w:t xml:space="preserve"> et al. 2015)</w:t>
      </w:r>
      <w:bookmarkEnd w:id="10"/>
      <w:r w:rsidRPr="00301629">
        <w:rPr>
          <w:rFonts w:ascii="Times New Roman" w:hAnsi="Times New Roman"/>
          <w:sz w:val="24"/>
          <w:szCs w:val="24"/>
        </w:rPr>
        <w:t xml:space="preserve"> and local experts (personal communication, William Scoville). Transportation of carbon to and from the treatment site is based on distances from </w:t>
      </w:r>
      <w:r w:rsidR="004E4573">
        <w:rPr>
          <w:rFonts w:ascii="Times New Roman" w:hAnsi="Times New Roman"/>
          <w:sz w:val="24"/>
          <w:szCs w:val="24"/>
        </w:rPr>
        <w:t>WPAFB</w:t>
      </w:r>
      <w:r w:rsidRPr="00301629">
        <w:rPr>
          <w:rFonts w:ascii="Times New Roman" w:hAnsi="Times New Roman"/>
          <w:sz w:val="24"/>
          <w:szCs w:val="24"/>
        </w:rPr>
        <w:t xml:space="preserve"> to a Calgon Carbon, Inc. facility (Huntington, WV).</w:t>
      </w:r>
    </w:p>
    <w:p w14:paraId="1DB739DF" w14:textId="77777777" w:rsidR="00063A07" w:rsidRPr="00301629" w:rsidRDefault="00063A07" w:rsidP="00301629">
      <w:pPr>
        <w:spacing w:after="0" w:line="480" w:lineRule="auto"/>
        <w:rPr>
          <w:rFonts w:ascii="Times New Roman" w:hAnsi="Times New Roman"/>
          <w:sz w:val="24"/>
          <w:szCs w:val="24"/>
        </w:rPr>
      </w:pPr>
    </w:p>
    <w:p w14:paraId="1933E792" w14:textId="415644BA" w:rsidR="00063A07" w:rsidRPr="009E77C0" w:rsidRDefault="009E77C0" w:rsidP="00C71B77">
      <w:pPr>
        <w:pStyle w:val="Heading3"/>
        <w:numPr>
          <w:ilvl w:val="1"/>
          <w:numId w:val="2"/>
        </w:numPr>
        <w:spacing w:before="0" w:line="480" w:lineRule="auto"/>
        <w:rPr>
          <w:rFonts w:ascii="Times New Roman" w:hAnsi="Times New Roman"/>
          <w:b/>
          <w:bCs/>
          <w:color w:val="auto"/>
        </w:rPr>
      </w:pPr>
      <w:r>
        <w:rPr>
          <w:rFonts w:ascii="Times New Roman" w:hAnsi="Times New Roman"/>
          <w:b/>
          <w:bCs/>
          <w:color w:val="auto"/>
        </w:rPr>
        <w:t xml:space="preserve"> </w:t>
      </w:r>
      <w:r w:rsidR="00063A07" w:rsidRPr="009E77C0">
        <w:rPr>
          <w:rFonts w:ascii="Times New Roman" w:hAnsi="Times New Roman"/>
          <w:b/>
          <w:bCs/>
          <w:color w:val="auto"/>
        </w:rPr>
        <w:t xml:space="preserve">IEX-based </w:t>
      </w:r>
      <w:r w:rsidR="002D549E" w:rsidRPr="009E77C0">
        <w:rPr>
          <w:rFonts w:ascii="Times New Roman" w:hAnsi="Times New Roman"/>
          <w:b/>
          <w:bCs/>
          <w:color w:val="auto"/>
        </w:rPr>
        <w:t>Treatment</w:t>
      </w:r>
      <w:r w:rsidR="00063A07" w:rsidRPr="009E77C0">
        <w:rPr>
          <w:rFonts w:ascii="Times New Roman" w:hAnsi="Times New Roman"/>
          <w:b/>
          <w:bCs/>
          <w:color w:val="auto"/>
        </w:rPr>
        <w:t xml:space="preserve"> System</w:t>
      </w:r>
    </w:p>
    <w:p w14:paraId="7747916B" w14:textId="10D1B8C5" w:rsidR="00063A07" w:rsidRPr="00301629" w:rsidRDefault="00063A07" w:rsidP="009E77C0">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A </w:t>
      </w:r>
      <w:r w:rsidR="002D549E" w:rsidRPr="00301629">
        <w:rPr>
          <w:rFonts w:ascii="Times New Roman" w:hAnsi="Times New Roman"/>
          <w:sz w:val="24"/>
          <w:szCs w:val="24"/>
        </w:rPr>
        <w:t>treatment</w:t>
      </w:r>
      <w:r w:rsidRPr="00301629">
        <w:rPr>
          <w:rFonts w:ascii="Times New Roman" w:hAnsi="Times New Roman"/>
          <w:sz w:val="24"/>
          <w:szCs w:val="24"/>
        </w:rPr>
        <w:t xml:space="preserve"> system using ion exchange columns was modeled based on pilot scale tests conducted at a DoD facility. The modeled system uses three IEX columns in series with a contact times of 2.5 minutes each and an adsorption capacity of 1.3 g combined PFOA and PFOS per kg resin </w:t>
      </w:r>
      <w:bookmarkStart w:id="11" w:name="Mendeley_Bookmark_RIwlhfYtc9"/>
      <w:r w:rsidRPr="00301629">
        <w:rPr>
          <w:rFonts w:ascii="Times New Roman" w:hAnsi="Times New Roman"/>
          <w:sz w:val="24"/>
          <w:szCs w:val="24"/>
        </w:rPr>
        <w:t>(</w:t>
      </w:r>
      <w:proofErr w:type="spellStart"/>
      <w:r w:rsidRPr="00301629">
        <w:rPr>
          <w:rFonts w:ascii="Times New Roman" w:hAnsi="Times New Roman"/>
          <w:sz w:val="24"/>
          <w:szCs w:val="24"/>
        </w:rPr>
        <w:t>Amec</w:t>
      </w:r>
      <w:proofErr w:type="spellEnd"/>
      <w:r w:rsidRPr="00301629">
        <w:rPr>
          <w:rFonts w:ascii="Times New Roman" w:hAnsi="Times New Roman"/>
          <w:sz w:val="24"/>
          <w:szCs w:val="24"/>
        </w:rPr>
        <w:t xml:space="preserve"> Foster Wheeler 2017)</w:t>
      </w:r>
      <w:bookmarkEnd w:id="11"/>
      <w:r w:rsidRPr="00301629">
        <w:rPr>
          <w:rFonts w:ascii="Times New Roman" w:hAnsi="Times New Roman"/>
          <w:sz w:val="24"/>
          <w:szCs w:val="24"/>
        </w:rPr>
        <w:t xml:space="preserve">. Once saturated, the ion-exchange columns are regenerated by washing with solvent and brine solutions to remove PFAS and any other contaminants. Based on protocols developed at the pilot scale, we assume that washing with five bed volumes of regenerant, five bed volumes of brine, and one bed volume of water is sufficient to completely restore the column’s adsorptive capacity </w:t>
      </w:r>
      <w:bookmarkStart w:id="12" w:name="Mendeley_Bookmark_h2jONxJx2B"/>
      <w:r w:rsidRPr="00301629">
        <w:rPr>
          <w:rFonts w:ascii="Times New Roman" w:hAnsi="Times New Roman"/>
          <w:sz w:val="24"/>
          <w:szCs w:val="24"/>
        </w:rPr>
        <w:t>(</w:t>
      </w:r>
      <w:proofErr w:type="spellStart"/>
      <w:r w:rsidRPr="00301629">
        <w:rPr>
          <w:rFonts w:ascii="Times New Roman" w:hAnsi="Times New Roman"/>
          <w:sz w:val="24"/>
          <w:szCs w:val="24"/>
        </w:rPr>
        <w:t>Amec</w:t>
      </w:r>
      <w:proofErr w:type="spellEnd"/>
      <w:r w:rsidRPr="00301629">
        <w:rPr>
          <w:rFonts w:ascii="Times New Roman" w:hAnsi="Times New Roman"/>
          <w:sz w:val="24"/>
          <w:szCs w:val="24"/>
        </w:rPr>
        <w:t xml:space="preserve"> Foster Wheeler 2017)</w:t>
      </w:r>
      <w:bookmarkEnd w:id="12"/>
      <w:r w:rsidRPr="00301629">
        <w:rPr>
          <w:rFonts w:ascii="Times New Roman" w:hAnsi="Times New Roman"/>
          <w:sz w:val="24"/>
          <w:szCs w:val="24"/>
        </w:rPr>
        <w:t xml:space="preserve">. </w:t>
      </w:r>
    </w:p>
    <w:p w14:paraId="7154FB75" w14:textId="58AA29EB" w:rsidR="00063A07" w:rsidRPr="00301629" w:rsidRDefault="00063A07" w:rsidP="00F806BA">
      <w:pPr>
        <w:spacing w:after="0" w:line="480" w:lineRule="auto"/>
        <w:ind w:firstLine="720"/>
        <w:rPr>
          <w:rFonts w:ascii="Times New Roman" w:hAnsi="Times New Roman"/>
          <w:sz w:val="24"/>
          <w:szCs w:val="24"/>
        </w:rPr>
      </w:pPr>
      <w:r w:rsidRPr="00301629">
        <w:rPr>
          <w:rFonts w:ascii="Times New Roman" w:hAnsi="Times New Roman"/>
          <w:sz w:val="24"/>
          <w:szCs w:val="24"/>
        </w:rPr>
        <w:lastRenderedPageBreak/>
        <w:t xml:space="preserve">The large volumes of waste produced during resin regeneration are mitigated by recycling the regenerant solutions. Used regenerant is distilled to produce a ‘clean’ methanol fraction and concentrated brine. Methanol demand in subsequent regeneration cycles is supplemented with 5% new methanol by volume. Contaminants in the concentrated brine are removed in a GAC </w:t>
      </w:r>
      <w:proofErr w:type="spellStart"/>
      <w:r w:rsidRPr="00301629">
        <w:rPr>
          <w:rFonts w:ascii="Times New Roman" w:hAnsi="Times New Roman"/>
          <w:sz w:val="24"/>
          <w:szCs w:val="24"/>
        </w:rPr>
        <w:t>superloader</w:t>
      </w:r>
      <w:proofErr w:type="spellEnd"/>
      <w:r w:rsidRPr="00301629">
        <w:rPr>
          <w:rFonts w:ascii="Times New Roman" w:hAnsi="Times New Roman"/>
          <w:sz w:val="24"/>
          <w:szCs w:val="24"/>
        </w:rPr>
        <w:t xml:space="preserve">. Based on pilot scale trial data, treated brine is expected to perform equivalently to fresh brine in IEX column regeneration. Waste GAC from the </w:t>
      </w:r>
      <w:proofErr w:type="spellStart"/>
      <w:r w:rsidRPr="00301629">
        <w:rPr>
          <w:rFonts w:ascii="Times New Roman" w:hAnsi="Times New Roman"/>
          <w:sz w:val="24"/>
          <w:szCs w:val="24"/>
        </w:rPr>
        <w:t>superloader</w:t>
      </w:r>
      <w:proofErr w:type="spellEnd"/>
      <w:r w:rsidRPr="00301629">
        <w:rPr>
          <w:rFonts w:ascii="Times New Roman" w:hAnsi="Times New Roman"/>
          <w:sz w:val="24"/>
          <w:szCs w:val="24"/>
        </w:rPr>
        <w:t xml:space="preserve"> is assumed to be incinerated as hazardous waste </w:t>
      </w:r>
      <w:bookmarkStart w:id="13" w:name="Mendeley_Bookmark_GO4KOehWnh"/>
      <w:r w:rsidRPr="00301629">
        <w:rPr>
          <w:rFonts w:ascii="Times New Roman" w:hAnsi="Times New Roman"/>
          <w:sz w:val="24"/>
          <w:szCs w:val="24"/>
        </w:rPr>
        <w:t>(</w:t>
      </w:r>
      <w:proofErr w:type="spellStart"/>
      <w:r w:rsidRPr="00301629">
        <w:rPr>
          <w:rFonts w:ascii="Times New Roman" w:hAnsi="Times New Roman"/>
          <w:sz w:val="24"/>
          <w:szCs w:val="24"/>
        </w:rPr>
        <w:t>Amec</w:t>
      </w:r>
      <w:proofErr w:type="spellEnd"/>
      <w:r w:rsidRPr="00301629">
        <w:rPr>
          <w:rFonts w:ascii="Times New Roman" w:hAnsi="Times New Roman"/>
          <w:sz w:val="24"/>
          <w:szCs w:val="24"/>
        </w:rPr>
        <w:t xml:space="preserve"> Foster Wheeler 2017)</w:t>
      </w:r>
      <w:bookmarkEnd w:id="13"/>
      <w:r w:rsidRPr="00301629">
        <w:rPr>
          <w:rFonts w:ascii="Times New Roman" w:hAnsi="Times New Roman"/>
          <w:sz w:val="24"/>
          <w:szCs w:val="24"/>
        </w:rPr>
        <w:t>.</w:t>
      </w:r>
    </w:p>
    <w:p w14:paraId="76F1008B" w14:textId="3FDCAC2E" w:rsidR="00063A07" w:rsidRPr="00301629" w:rsidRDefault="00063A07" w:rsidP="00F806BA">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Contactors and regenerant storage tank materials were estimated based on the necessary capacity of contactors to process well water at the desired flow rate and residence times. Piping and other infrastructure requirements were conservatively assumed to be double that of the GAC system due to the increased complexity of the resin </w:t>
      </w:r>
      <w:r w:rsidR="002D549E" w:rsidRPr="00301629">
        <w:rPr>
          <w:rFonts w:ascii="Times New Roman" w:hAnsi="Times New Roman"/>
          <w:sz w:val="24"/>
          <w:szCs w:val="24"/>
        </w:rPr>
        <w:t>treatment</w:t>
      </w:r>
      <w:r w:rsidRPr="00301629">
        <w:rPr>
          <w:rFonts w:ascii="Times New Roman" w:hAnsi="Times New Roman"/>
          <w:sz w:val="24"/>
          <w:szCs w:val="24"/>
        </w:rPr>
        <w:t xml:space="preserve"> </w:t>
      </w:r>
      <w:r w:rsidR="00F5445D">
        <w:rPr>
          <w:rFonts w:ascii="Times New Roman" w:hAnsi="Times New Roman"/>
          <w:sz w:val="24"/>
          <w:szCs w:val="24"/>
        </w:rPr>
        <w:t>and</w:t>
      </w:r>
      <w:r w:rsidRPr="00301629">
        <w:rPr>
          <w:rFonts w:ascii="Times New Roman" w:hAnsi="Times New Roman"/>
          <w:sz w:val="24"/>
          <w:szCs w:val="24"/>
        </w:rPr>
        <w:t xml:space="preserve"> regeneration system. </w:t>
      </w:r>
    </w:p>
    <w:p w14:paraId="16AEB90D" w14:textId="77777777" w:rsidR="00063A07" w:rsidRPr="00301629" w:rsidRDefault="00063A07" w:rsidP="00301629">
      <w:pPr>
        <w:spacing w:after="0" w:line="480" w:lineRule="auto"/>
        <w:rPr>
          <w:rFonts w:ascii="Times New Roman" w:hAnsi="Times New Roman"/>
          <w:sz w:val="24"/>
          <w:szCs w:val="24"/>
        </w:rPr>
      </w:pPr>
    </w:p>
    <w:p w14:paraId="47FDF892" w14:textId="66FEF549" w:rsidR="00063A07" w:rsidRPr="00F5445D" w:rsidRDefault="00F5445D" w:rsidP="00C71B77">
      <w:pPr>
        <w:pStyle w:val="Heading3"/>
        <w:numPr>
          <w:ilvl w:val="1"/>
          <w:numId w:val="2"/>
        </w:numPr>
        <w:spacing w:before="0" w:line="480" w:lineRule="auto"/>
        <w:rPr>
          <w:rFonts w:ascii="Times New Roman" w:hAnsi="Times New Roman"/>
          <w:b/>
          <w:bCs/>
          <w:color w:val="auto"/>
        </w:rPr>
      </w:pPr>
      <w:r>
        <w:rPr>
          <w:rFonts w:ascii="Times New Roman" w:hAnsi="Times New Roman"/>
          <w:b/>
          <w:bCs/>
          <w:color w:val="auto"/>
        </w:rPr>
        <w:t xml:space="preserve"> </w:t>
      </w:r>
      <w:r w:rsidR="00063A07" w:rsidRPr="00F5445D">
        <w:rPr>
          <w:rFonts w:ascii="Times New Roman" w:hAnsi="Times New Roman"/>
          <w:b/>
          <w:bCs/>
          <w:color w:val="auto"/>
        </w:rPr>
        <w:t>Bottled Water Supply</w:t>
      </w:r>
    </w:p>
    <w:p w14:paraId="7535D280" w14:textId="131710BD" w:rsidR="00063A07" w:rsidRPr="00301629" w:rsidRDefault="00063A07" w:rsidP="00F5445D">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After the release of the US EPA health advisory for </w:t>
      </w:r>
      <w:r w:rsidR="006A417F">
        <w:rPr>
          <w:rFonts w:ascii="Times New Roman" w:hAnsi="Times New Roman"/>
          <w:sz w:val="24"/>
          <w:szCs w:val="24"/>
        </w:rPr>
        <w:t>PFAS</w:t>
      </w:r>
      <w:r w:rsidRPr="00301629">
        <w:rPr>
          <w:rFonts w:ascii="Times New Roman" w:hAnsi="Times New Roman"/>
          <w:sz w:val="24"/>
          <w:szCs w:val="24"/>
        </w:rPr>
        <w:t xml:space="preserve"> in May of 2016, </w:t>
      </w:r>
      <w:r w:rsidR="004E4573">
        <w:rPr>
          <w:rFonts w:ascii="Times New Roman" w:hAnsi="Times New Roman"/>
          <w:sz w:val="24"/>
          <w:szCs w:val="24"/>
        </w:rPr>
        <w:t>W</w:t>
      </w:r>
      <w:r w:rsidR="00D908F3">
        <w:rPr>
          <w:rFonts w:ascii="Times New Roman" w:hAnsi="Times New Roman"/>
          <w:sz w:val="24"/>
          <w:szCs w:val="24"/>
        </w:rPr>
        <w:t xml:space="preserve">PAFB </w:t>
      </w:r>
      <w:r w:rsidRPr="00301629">
        <w:rPr>
          <w:rFonts w:ascii="Times New Roman" w:hAnsi="Times New Roman"/>
          <w:sz w:val="24"/>
          <w:szCs w:val="24"/>
        </w:rPr>
        <w:t xml:space="preserve">made bottled water available to residents of </w:t>
      </w:r>
      <w:r w:rsidR="00D908F3">
        <w:rPr>
          <w:rFonts w:ascii="Times New Roman" w:hAnsi="Times New Roman"/>
          <w:sz w:val="24"/>
          <w:szCs w:val="24"/>
        </w:rPr>
        <w:t xml:space="preserve">its </w:t>
      </w:r>
      <w:r w:rsidRPr="00301629">
        <w:rPr>
          <w:rFonts w:ascii="Times New Roman" w:hAnsi="Times New Roman"/>
          <w:sz w:val="24"/>
          <w:szCs w:val="24"/>
        </w:rPr>
        <w:t xml:space="preserve">affected areas. Data for brand 1 bottles in this analysis come primarily from a report on Nestle manufacturing and supply chain life cycle impacts, which included life cycle (upstream) energy and materials use through delivery and storage at a local supermarket </w:t>
      </w:r>
      <w:bookmarkStart w:id="14" w:name="Mendeley_Bookmark_2GbTPMvvxD"/>
      <w:r w:rsidRPr="00301629">
        <w:rPr>
          <w:rFonts w:ascii="Times New Roman" w:hAnsi="Times New Roman"/>
          <w:sz w:val="24"/>
          <w:szCs w:val="24"/>
        </w:rPr>
        <w:t>(</w:t>
      </w:r>
      <w:proofErr w:type="spellStart"/>
      <w:r w:rsidRPr="00301629">
        <w:rPr>
          <w:rFonts w:ascii="Times New Roman" w:hAnsi="Times New Roman"/>
          <w:sz w:val="24"/>
          <w:szCs w:val="24"/>
        </w:rPr>
        <w:t>Quantis</w:t>
      </w:r>
      <w:proofErr w:type="spellEnd"/>
      <w:r w:rsidRPr="00301629">
        <w:rPr>
          <w:rFonts w:ascii="Times New Roman" w:hAnsi="Times New Roman"/>
          <w:sz w:val="24"/>
          <w:szCs w:val="24"/>
        </w:rPr>
        <w:t xml:space="preserve"> 2010)</w:t>
      </w:r>
      <w:bookmarkEnd w:id="14"/>
      <w:r w:rsidRPr="00301629">
        <w:rPr>
          <w:rFonts w:ascii="Times New Roman" w:hAnsi="Times New Roman"/>
          <w:sz w:val="24"/>
          <w:szCs w:val="24"/>
        </w:rPr>
        <w:t xml:space="preserve">. This was supplemented with distribution transportation distances from regional Nestle facilities (Greenwood, IN) to WPAFB. Data for an alternative bottled water scenario, referred to as brand 2, were sourced from the literature, supplemented by </w:t>
      </w:r>
      <w:proofErr w:type="spellStart"/>
      <w:r w:rsidRPr="00301629">
        <w:rPr>
          <w:rFonts w:ascii="Times New Roman" w:hAnsi="Times New Roman"/>
          <w:sz w:val="24"/>
          <w:szCs w:val="24"/>
        </w:rPr>
        <w:t>Quantis</w:t>
      </w:r>
      <w:proofErr w:type="spellEnd"/>
      <w:r w:rsidRPr="00301629">
        <w:rPr>
          <w:rFonts w:ascii="Times New Roman" w:hAnsi="Times New Roman"/>
          <w:sz w:val="24"/>
          <w:szCs w:val="24"/>
        </w:rPr>
        <w:t xml:space="preserve"> (2010) where necessary. Bottle manufacturing and spring water sourcing and facility energy use were supplemented with distribution transportation distances from regional Crystal Geyser company facilities (Benton, TN) to WPAFB. Bottles were </w:t>
      </w:r>
      <w:r w:rsidRPr="00301629">
        <w:rPr>
          <w:rFonts w:ascii="Times New Roman" w:hAnsi="Times New Roman"/>
          <w:sz w:val="24"/>
          <w:szCs w:val="24"/>
        </w:rPr>
        <w:lastRenderedPageBreak/>
        <w:t xml:space="preserve">purchased as packages of 28 0.5 L bottles and we include the additional packaging (cardboard tray and low-density polypropylene wrap) in our analysis. </w:t>
      </w:r>
    </w:p>
    <w:p w14:paraId="2D462B28" w14:textId="36361364" w:rsidR="00063A07" w:rsidRPr="00301629" w:rsidRDefault="00063A07" w:rsidP="00C44706">
      <w:pPr>
        <w:spacing w:after="0" w:line="480" w:lineRule="auto"/>
        <w:ind w:firstLine="720"/>
        <w:rPr>
          <w:rFonts w:ascii="Times New Roman" w:hAnsi="Times New Roman"/>
          <w:sz w:val="24"/>
          <w:szCs w:val="24"/>
        </w:rPr>
      </w:pPr>
      <w:r w:rsidRPr="00301629">
        <w:rPr>
          <w:rFonts w:ascii="Times New Roman" w:hAnsi="Times New Roman"/>
          <w:sz w:val="24"/>
          <w:szCs w:val="24"/>
        </w:rPr>
        <w:t>We developed two scenarios for local bottled water distribution at WPAFB based on actual on-site procedures. Under both scenarios, bottled water is picked up from a local supermarket and delivered by gasoline-fueled light truck to distribution centers at WPAFB. These distribution centers include sites with potentially sensitive populations (such as a childcare center). This local distribution stage include</w:t>
      </w:r>
      <w:r w:rsidR="007111CF">
        <w:rPr>
          <w:rFonts w:ascii="Times New Roman" w:hAnsi="Times New Roman"/>
          <w:sz w:val="24"/>
          <w:szCs w:val="24"/>
        </w:rPr>
        <w:t>d</w:t>
      </w:r>
      <w:r w:rsidRPr="00301629">
        <w:rPr>
          <w:rFonts w:ascii="Times New Roman" w:hAnsi="Times New Roman"/>
          <w:sz w:val="24"/>
          <w:szCs w:val="24"/>
        </w:rPr>
        <w:t xml:space="preserve"> round-trip transportation between the distribution site and supermarket, with impacts distributed among the 1 – 4 m</w:t>
      </w:r>
      <w:r w:rsidRPr="00301629">
        <w:rPr>
          <w:rFonts w:ascii="Times New Roman" w:hAnsi="Times New Roman"/>
          <w:sz w:val="24"/>
          <w:szCs w:val="24"/>
          <w:vertAlign w:val="superscript"/>
        </w:rPr>
        <w:t>3</w:t>
      </w:r>
      <w:r w:rsidRPr="00301629">
        <w:rPr>
          <w:rFonts w:ascii="Times New Roman" w:hAnsi="Times New Roman"/>
          <w:sz w:val="24"/>
          <w:szCs w:val="24"/>
        </w:rPr>
        <w:t xml:space="preserve"> of water transported per trip. The second distribution scenario include</w:t>
      </w:r>
      <w:r w:rsidR="007111CF">
        <w:rPr>
          <w:rFonts w:ascii="Times New Roman" w:hAnsi="Times New Roman"/>
          <w:sz w:val="24"/>
          <w:szCs w:val="24"/>
        </w:rPr>
        <w:t>d</w:t>
      </w:r>
      <w:r w:rsidRPr="00301629">
        <w:rPr>
          <w:rFonts w:ascii="Times New Roman" w:hAnsi="Times New Roman"/>
          <w:sz w:val="24"/>
          <w:szCs w:val="24"/>
        </w:rPr>
        <w:t xml:space="preserve"> pick-up from the distribution sites by residents. Driving distances were determined from several factors, including proximity of working and living facilities to the pickup location (0.25 – 7.0 km), attributable share of the trip to water pickup (10% – 100%), and volume of water acquired per trip (1 – 4 cases, or 0.013 – 0.052 m</w:t>
      </w:r>
      <w:r w:rsidRPr="00301629">
        <w:rPr>
          <w:rFonts w:ascii="Times New Roman" w:hAnsi="Times New Roman"/>
          <w:sz w:val="24"/>
          <w:szCs w:val="24"/>
          <w:vertAlign w:val="superscript"/>
        </w:rPr>
        <w:t>3</w:t>
      </w:r>
      <w:r w:rsidRPr="00301629">
        <w:rPr>
          <w:rFonts w:ascii="Times New Roman" w:hAnsi="Times New Roman"/>
          <w:sz w:val="24"/>
          <w:szCs w:val="24"/>
        </w:rPr>
        <w:t>). This resulted in a best estimate of 29 km/m</w:t>
      </w:r>
      <w:r w:rsidRPr="00301629">
        <w:rPr>
          <w:rFonts w:ascii="Times New Roman" w:hAnsi="Times New Roman"/>
          <w:sz w:val="24"/>
          <w:szCs w:val="24"/>
          <w:vertAlign w:val="superscript"/>
        </w:rPr>
        <w:t>3</w:t>
      </w:r>
      <w:r w:rsidRPr="00301629">
        <w:rPr>
          <w:rFonts w:ascii="Times New Roman" w:hAnsi="Times New Roman"/>
          <w:sz w:val="24"/>
          <w:szCs w:val="24"/>
        </w:rPr>
        <w:t xml:space="preserve"> with a range of 0.48 – 538 km/m</w:t>
      </w:r>
      <w:r w:rsidRPr="00301629">
        <w:rPr>
          <w:rFonts w:ascii="Times New Roman" w:hAnsi="Times New Roman"/>
          <w:sz w:val="24"/>
          <w:szCs w:val="24"/>
          <w:vertAlign w:val="superscript"/>
        </w:rPr>
        <w:t>3</w:t>
      </w:r>
      <w:r w:rsidRPr="00301629">
        <w:rPr>
          <w:rFonts w:ascii="Times New Roman" w:hAnsi="Times New Roman"/>
          <w:sz w:val="24"/>
          <w:szCs w:val="24"/>
        </w:rPr>
        <w:t xml:space="preserve">. </w:t>
      </w:r>
    </w:p>
    <w:p w14:paraId="2AE03470" w14:textId="76E9D981" w:rsidR="00063A07" w:rsidRPr="00301629" w:rsidRDefault="00063A07" w:rsidP="007111CF">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Based on the anticipated health effects of PFAS-contaminated groundwater, we assessed two levels of bottled water supply to WPAFB. Both </w:t>
      </w:r>
      <w:r w:rsidR="007111CF">
        <w:rPr>
          <w:rFonts w:ascii="Times New Roman" w:hAnsi="Times New Roman"/>
          <w:sz w:val="24"/>
          <w:szCs w:val="24"/>
        </w:rPr>
        <w:t>we</w:t>
      </w:r>
      <w:r w:rsidRPr="00301629">
        <w:rPr>
          <w:rFonts w:ascii="Times New Roman" w:hAnsi="Times New Roman"/>
          <w:sz w:val="24"/>
          <w:szCs w:val="24"/>
        </w:rPr>
        <w:t xml:space="preserve">re based on a substitution of the drinking water fraction of total water use, assumed to be </w:t>
      </w:r>
      <w:r w:rsidR="007111CF">
        <w:rPr>
          <w:rFonts w:ascii="Times New Roman" w:hAnsi="Times New Roman"/>
          <w:sz w:val="24"/>
          <w:szCs w:val="24"/>
        </w:rPr>
        <w:t>five</w:t>
      </w:r>
      <w:r w:rsidRPr="00301629">
        <w:rPr>
          <w:rFonts w:ascii="Times New Roman" w:hAnsi="Times New Roman"/>
          <w:sz w:val="24"/>
          <w:szCs w:val="24"/>
        </w:rPr>
        <w:t xml:space="preserve"> liters per person per day </w:t>
      </w:r>
      <w:bookmarkStart w:id="15" w:name="Mendeley_Bookmark_4VQPxkHMpB"/>
      <w:r w:rsidRPr="00301629">
        <w:rPr>
          <w:rFonts w:ascii="Times New Roman" w:hAnsi="Times New Roman"/>
          <w:sz w:val="24"/>
          <w:szCs w:val="24"/>
        </w:rPr>
        <w:t>(USEPA 2011)</w:t>
      </w:r>
      <w:bookmarkEnd w:id="15"/>
      <w:r w:rsidRPr="00301629">
        <w:rPr>
          <w:rFonts w:ascii="Times New Roman" w:hAnsi="Times New Roman"/>
          <w:sz w:val="24"/>
          <w:szCs w:val="24"/>
        </w:rPr>
        <w:t>. The provisioning of tap water to homes and workplaces is not included in these scenarios. The sensitive residents (SR) scenario include</w:t>
      </w:r>
      <w:r w:rsidR="007111CF">
        <w:rPr>
          <w:rFonts w:ascii="Times New Roman" w:hAnsi="Times New Roman"/>
          <w:sz w:val="24"/>
          <w:szCs w:val="24"/>
        </w:rPr>
        <w:t>d</w:t>
      </w:r>
      <w:r w:rsidRPr="00301629">
        <w:rPr>
          <w:rFonts w:ascii="Times New Roman" w:hAnsi="Times New Roman"/>
          <w:sz w:val="24"/>
          <w:szCs w:val="24"/>
        </w:rPr>
        <w:t xml:space="preserve"> only bottled water delivery to locations serving EPA-designated sensitive populations to the effects of PFOA and PFOS (pregnant and nursing mothers, infants, and young children), who </w:t>
      </w:r>
      <w:r w:rsidR="007111CF">
        <w:rPr>
          <w:rFonts w:ascii="Times New Roman" w:hAnsi="Times New Roman"/>
          <w:sz w:val="24"/>
          <w:szCs w:val="24"/>
        </w:rPr>
        <w:t>we</w:t>
      </w:r>
      <w:r w:rsidRPr="00301629">
        <w:rPr>
          <w:rFonts w:ascii="Times New Roman" w:hAnsi="Times New Roman"/>
          <w:sz w:val="24"/>
          <w:szCs w:val="24"/>
        </w:rPr>
        <w:t>re assumed to make up 5% of the population. The residents and sensitive nonresidents (RSN) scenario include</w:t>
      </w:r>
      <w:r w:rsidR="007111CF">
        <w:rPr>
          <w:rFonts w:ascii="Times New Roman" w:hAnsi="Times New Roman"/>
          <w:sz w:val="24"/>
          <w:szCs w:val="24"/>
        </w:rPr>
        <w:t>d</w:t>
      </w:r>
      <w:r w:rsidRPr="00301629">
        <w:rPr>
          <w:rFonts w:ascii="Times New Roman" w:hAnsi="Times New Roman"/>
          <w:sz w:val="24"/>
          <w:szCs w:val="24"/>
        </w:rPr>
        <w:t xml:space="preserve"> bottled water delivery to locations serving sensitive populations, assumed to make up 5% of the nonresident population, as well as individual bottled water pick-up by the non-sensitive full-time resident population.</w:t>
      </w:r>
    </w:p>
    <w:p w14:paraId="6166687B" w14:textId="135A67C3" w:rsidR="005A3248" w:rsidRPr="00301629" w:rsidRDefault="005A3248" w:rsidP="007111CF">
      <w:pPr>
        <w:spacing w:after="0" w:line="480" w:lineRule="auto"/>
        <w:ind w:firstLine="720"/>
        <w:rPr>
          <w:rFonts w:ascii="Times New Roman" w:hAnsi="Times New Roman"/>
          <w:sz w:val="24"/>
          <w:szCs w:val="24"/>
        </w:rPr>
      </w:pPr>
      <w:r w:rsidRPr="00301629">
        <w:rPr>
          <w:rFonts w:ascii="Times New Roman" w:hAnsi="Times New Roman"/>
          <w:sz w:val="24"/>
          <w:szCs w:val="24"/>
        </w:rPr>
        <w:lastRenderedPageBreak/>
        <w:t xml:space="preserve">Post-consumer treatment of plastic bottles </w:t>
      </w:r>
      <w:r w:rsidR="00FA4998">
        <w:rPr>
          <w:rFonts w:ascii="Times New Roman" w:hAnsi="Times New Roman"/>
          <w:sz w:val="24"/>
          <w:szCs w:val="24"/>
        </w:rPr>
        <w:t>wa</w:t>
      </w:r>
      <w:r w:rsidRPr="00301629">
        <w:rPr>
          <w:rFonts w:ascii="Times New Roman" w:hAnsi="Times New Roman"/>
          <w:sz w:val="24"/>
          <w:szCs w:val="24"/>
        </w:rPr>
        <w:t xml:space="preserve">s not included due to a lack of reliable data on crucial parameters such as local recycling rates, waste transportation distances, and recycling process energy use and end products. The potential influence of recycling on bottled water supply as an alternative to treatment of contaminated groundwater was examined in a sensitivity analysis based on default </w:t>
      </w:r>
      <w:proofErr w:type="spellStart"/>
      <w:r w:rsidR="00D243E0" w:rsidRPr="00301629">
        <w:rPr>
          <w:rFonts w:ascii="Times New Roman" w:hAnsi="Times New Roman"/>
          <w:sz w:val="24"/>
          <w:szCs w:val="24"/>
        </w:rPr>
        <w:t>E</w:t>
      </w:r>
      <w:r w:rsidRPr="00301629">
        <w:rPr>
          <w:rFonts w:ascii="Times New Roman" w:hAnsi="Times New Roman"/>
          <w:sz w:val="24"/>
          <w:szCs w:val="24"/>
        </w:rPr>
        <w:t>coinvent</w:t>
      </w:r>
      <w:proofErr w:type="spellEnd"/>
      <w:r w:rsidRPr="00301629">
        <w:rPr>
          <w:rFonts w:ascii="Times New Roman" w:hAnsi="Times New Roman"/>
          <w:sz w:val="24"/>
          <w:szCs w:val="24"/>
        </w:rPr>
        <w:t xml:space="preserve"> </w:t>
      </w:r>
      <w:r w:rsidR="000A3B34" w:rsidRPr="00301629">
        <w:rPr>
          <w:rFonts w:ascii="Times New Roman" w:hAnsi="Times New Roman"/>
          <w:sz w:val="24"/>
          <w:szCs w:val="24"/>
        </w:rPr>
        <w:t xml:space="preserve">version </w:t>
      </w:r>
      <w:r w:rsidR="00D243E0" w:rsidRPr="00301629">
        <w:rPr>
          <w:rFonts w:ascii="Times New Roman" w:hAnsi="Times New Roman"/>
          <w:sz w:val="24"/>
          <w:szCs w:val="24"/>
        </w:rPr>
        <w:t>3</w:t>
      </w:r>
      <w:r w:rsidR="00923DEC" w:rsidRPr="00301629">
        <w:rPr>
          <w:rFonts w:ascii="Times New Roman" w:hAnsi="Times New Roman"/>
          <w:sz w:val="24"/>
          <w:szCs w:val="24"/>
        </w:rPr>
        <w:t xml:space="preserve"> </w:t>
      </w:r>
      <w:r w:rsidRPr="00301629">
        <w:rPr>
          <w:rFonts w:ascii="Times New Roman" w:hAnsi="Times New Roman"/>
          <w:sz w:val="24"/>
          <w:szCs w:val="24"/>
        </w:rPr>
        <w:t>recycling parameters for p</w:t>
      </w:r>
      <w:r w:rsidR="00503F22" w:rsidRPr="00301629">
        <w:rPr>
          <w:rFonts w:ascii="Times New Roman" w:hAnsi="Times New Roman"/>
          <w:sz w:val="24"/>
          <w:szCs w:val="24"/>
        </w:rPr>
        <w:t>lastic and cardboard</w:t>
      </w:r>
      <w:r w:rsidRPr="00301629">
        <w:rPr>
          <w:rFonts w:ascii="Times New Roman" w:hAnsi="Times New Roman"/>
          <w:sz w:val="24"/>
          <w:szCs w:val="24"/>
        </w:rPr>
        <w:t>.</w:t>
      </w:r>
    </w:p>
    <w:p w14:paraId="76486D0C" w14:textId="77777777" w:rsidR="00063A07" w:rsidRPr="00301629" w:rsidRDefault="00063A07" w:rsidP="00301629">
      <w:pPr>
        <w:spacing w:after="0" w:line="480" w:lineRule="auto"/>
        <w:rPr>
          <w:rFonts w:ascii="Times New Roman" w:hAnsi="Times New Roman"/>
          <w:sz w:val="24"/>
          <w:szCs w:val="24"/>
        </w:rPr>
      </w:pPr>
    </w:p>
    <w:p w14:paraId="538C66AF" w14:textId="341089A9" w:rsidR="00063A07" w:rsidRPr="00FA4998" w:rsidRDefault="00FA4998" w:rsidP="00C71B77">
      <w:pPr>
        <w:pStyle w:val="Heading3"/>
        <w:numPr>
          <w:ilvl w:val="1"/>
          <w:numId w:val="2"/>
        </w:numPr>
        <w:spacing w:before="0" w:line="480" w:lineRule="auto"/>
        <w:rPr>
          <w:rFonts w:ascii="Times New Roman" w:hAnsi="Times New Roman"/>
          <w:b/>
          <w:bCs/>
          <w:color w:val="auto"/>
        </w:rPr>
      </w:pPr>
      <w:r>
        <w:rPr>
          <w:rFonts w:ascii="Times New Roman" w:hAnsi="Times New Roman"/>
          <w:b/>
          <w:bCs/>
          <w:color w:val="auto"/>
        </w:rPr>
        <w:t xml:space="preserve"> </w:t>
      </w:r>
      <w:r w:rsidR="00063A07" w:rsidRPr="00FA4998">
        <w:rPr>
          <w:rFonts w:ascii="Times New Roman" w:hAnsi="Times New Roman"/>
          <w:b/>
          <w:bCs/>
          <w:color w:val="auto"/>
        </w:rPr>
        <w:t>Life Cycle Impact Modeling and Monte Carlo Simulation</w:t>
      </w:r>
    </w:p>
    <w:p w14:paraId="4C4C3532" w14:textId="044A2892" w:rsidR="00063A07" w:rsidRPr="00301629" w:rsidRDefault="00063A07" w:rsidP="00FA4998">
      <w:pPr>
        <w:spacing w:after="0" w:line="480" w:lineRule="auto"/>
        <w:ind w:firstLine="720"/>
        <w:rPr>
          <w:rFonts w:ascii="Times New Roman" w:hAnsi="Times New Roman"/>
          <w:sz w:val="24"/>
          <w:szCs w:val="24"/>
        </w:rPr>
      </w:pPr>
      <w:proofErr w:type="spellStart"/>
      <w:r w:rsidRPr="00301629">
        <w:rPr>
          <w:rFonts w:ascii="Times New Roman" w:hAnsi="Times New Roman"/>
          <w:sz w:val="24"/>
          <w:szCs w:val="24"/>
        </w:rPr>
        <w:t>SimaPro</w:t>
      </w:r>
      <w:proofErr w:type="spellEnd"/>
      <w:r w:rsidRPr="00301629">
        <w:rPr>
          <w:rFonts w:ascii="Times New Roman" w:hAnsi="Times New Roman"/>
          <w:sz w:val="24"/>
          <w:szCs w:val="24"/>
        </w:rPr>
        <w:t xml:space="preserve"> software was used to implement the life-cycle models (v. 8.3, </w:t>
      </w:r>
      <w:proofErr w:type="spellStart"/>
      <w:r w:rsidRPr="00301629">
        <w:rPr>
          <w:rFonts w:ascii="Times New Roman" w:hAnsi="Times New Roman"/>
          <w:sz w:val="24"/>
          <w:szCs w:val="24"/>
        </w:rPr>
        <w:t>Pré</w:t>
      </w:r>
      <w:proofErr w:type="spellEnd"/>
      <w:r w:rsidRPr="00301629">
        <w:rPr>
          <w:rFonts w:ascii="Times New Roman" w:hAnsi="Times New Roman"/>
          <w:sz w:val="24"/>
          <w:szCs w:val="24"/>
        </w:rPr>
        <w:t xml:space="preserve"> Consultants, Amersfoort, The Netherlands). Database entries designed for North America, the United States, or the region containing the study area (such as North American Electric Reliability Corporation regions) were preferred when assembling the life cycle models. However, relatively few local database entries were available. Most entries were sourced from the </w:t>
      </w:r>
      <w:proofErr w:type="spellStart"/>
      <w:r w:rsidR="00923DEC" w:rsidRPr="00301629">
        <w:rPr>
          <w:rFonts w:ascii="Times New Roman" w:hAnsi="Times New Roman"/>
          <w:sz w:val="24"/>
          <w:szCs w:val="24"/>
        </w:rPr>
        <w:t>E</w:t>
      </w:r>
      <w:r w:rsidRPr="00301629">
        <w:rPr>
          <w:rFonts w:ascii="Times New Roman" w:hAnsi="Times New Roman"/>
          <w:sz w:val="24"/>
          <w:szCs w:val="24"/>
        </w:rPr>
        <w:t>coinvent</w:t>
      </w:r>
      <w:proofErr w:type="spellEnd"/>
      <w:r w:rsidRPr="00301629">
        <w:rPr>
          <w:rFonts w:ascii="Times New Roman" w:hAnsi="Times New Roman"/>
          <w:sz w:val="24"/>
          <w:szCs w:val="24"/>
        </w:rPr>
        <w:t xml:space="preserve"> </w:t>
      </w:r>
      <w:r w:rsidR="000A3B34" w:rsidRPr="00301629">
        <w:rPr>
          <w:rFonts w:ascii="Times New Roman" w:hAnsi="Times New Roman"/>
          <w:sz w:val="24"/>
          <w:szCs w:val="24"/>
        </w:rPr>
        <w:t xml:space="preserve">version </w:t>
      </w:r>
      <w:r w:rsidR="00923DEC" w:rsidRPr="00301629">
        <w:rPr>
          <w:rFonts w:ascii="Times New Roman" w:hAnsi="Times New Roman"/>
          <w:sz w:val="24"/>
          <w:szCs w:val="24"/>
        </w:rPr>
        <w:t xml:space="preserve">3 </w:t>
      </w:r>
      <w:r w:rsidRPr="00301629">
        <w:rPr>
          <w:rFonts w:ascii="Times New Roman" w:hAnsi="Times New Roman"/>
          <w:sz w:val="24"/>
          <w:szCs w:val="24"/>
        </w:rPr>
        <w:t>database using global or rest-of-world (non-European) values. Impact calculations were performed using TRACI 2.1 v 1.04 US 2008 indicator methods.</w:t>
      </w:r>
      <w:r w:rsidR="00E152E5" w:rsidRPr="00301629">
        <w:rPr>
          <w:rFonts w:ascii="Times New Roman" w:hAnsi="Times New Roman"/>
          <w:sz w:val="24"/>
          <w:szCs w:val="24"/>
        </w:rPr>
        <w:t xml:space="preserve"> </w:t>
      </w:r>
      <w:r w:rsidR="007E7A0B" w:rsidRPr="00301629">
        <w:rPr>
          <w:rFonts w:ascii="Times New Roman" w:hAnsi="Times New Roman"/>
          <w:sz w:val="24"/>
          <w:szCs w:val="24"/>
        </w:rPr>
        <w:t>TRACI is widely regarded as the most accurate midpoint impact assessment model for the United States region, particularly for the categories of primary interest in this study (climate change and human health)</w:t>
      </w:r>
      <w:r w:rsidR="00E353A3" w:rsidRPr="00301629">
        <w:rPr>
          <w:rFonts w:ascii="Times New Roman" w:hAnsi="Times New Roman"/>
          <w:sz w:val="24"/>
          <w:szCs w:val="24"/>
        </w:rPr>
        <w:t xml:space="preserve"> (</w:t>
      </w:r>
      <w:proofErr w:type="spellStart"/>
      <w:r w:rsidR="00E353A3" w:rsidRPr="00301629">
        <w:rPr>
          <w:rFonts w:ascii="Times New Roman" w:hAnsi="Times New Roman"/>
          <w:sz w:val="24"/>
          <w:szCs w:val="24"/>
        </w:rPr>
        <w:t>Hauschild</w:t>
      </w:r>
      <w:proofErr w:type="spellEnd"/>
      <w:r w:rsidR="00E353A3" w:rsidRPr="00301629">
        <w:rPr>
          <w:rFonts w:ascii="Times New Roman" w:hAnsi="Times New Roman"/>
          <w:sz w:val="24"/>
          <w:szCs w:val="24"/>
        </w:rPr>
        <w:t xml:space="preserve"> et al. 2013)</w:t>
      </w:r>
      <w:r w:rsidR="007E7A0B" w:rsidRPr="00301629">
        <w:rPr>
          <w:rFonts w:ascii="Times New Roman" w:hAnsi="Times New Roman"/>
          <w:sz w:val="24"/>
          <w:szCs w:val="24"/>
        </w:rPr>
        <w:t>.</w:t>
      </w:r>
    </w:p>
    <w:p w14:paraId="7B764B34" w14:textId="2C032283" w:rsidR="0099688C" w:rsidRPr="00301629" w:rsidRDefault="00063A07" w:rsidP="00393DE4">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Likelihood distributions were introduced for </w:t>
      </w:r>
      <w:r w:rsidR="007E5DF1" w:rsidRPr="00301629">
        <w:rPr>
          <w:rFonts w:ascii="Times New Roman" w:hAnsi="Times New Roman"/>
          <w:sz w:val="24"/>
          <w:szCs w:val="24"/>
        </w:rPr>
        <w:t>most</w:t>
      </w:r>
      <w:r w:rsidRPr="00301629">
        <w:rPr>
          <w:rFonts w:ascii="Times New Roman" w:hAnsi="Times New Roman"/>
          <w:sz w:val="24"/>
          <w:szCs w:val="24"/>
        </w:rPr>
        <w:t xml:space="preserve"> model parameters. Where available, operations data from full-scale or pilot-scale facilities or industry reports were used to develop distributions based upon best estimates, maximum, and minimum values. For most parameters, a pedigree matrix approach was used to introduce uncertainty around a best estimate based upon the degree of confidence in the accuracy of the chosen value. The pedigree matrix implementation in </w:t>
      </w:r>
      <w:proofErr w:type="spellStart"/>
      <w:r w:rsidRPr="00301629">
        <w:rPr>
          <w:rFonts w:ascii="Times New Roman" w:hAnsi="Times New Roman"/>
          <w:sz w:val="24"/>
          <w:szCs w:val="24"/>
        </w:rPr>
        <w:t>SimaPro</w:t>
      </w:r>
      <w:proofErr w:type="spellEnd"/>
      <w:r w:rsidR="007E5DF1" w:rsidRPr="00301629">
        <w:rPr>
          <w:rFonts w:ascii="Times New Roman" w:hAnsi="Times New Roman"/>
          <w:sz w:val="24"/>
          <w:szCs w:val="24"/>
        </w:rPr>
        <w:t xml:space="preserve"> with </w:t>
      </w:r>
      <w:proofErr w:type="spellStart"/>
      <w:r w:rsidR="00923DEC" w:rsidRPr="00301629">
        <w:rPr>
          <w:rFonts w:ascii="Times New Roman" w:hAnsi="Times New Roman"/>
          <w:sz w:val="24"/>
          <w:szCs w:val="24"/>
        </w:rPr>
        <w:t>E</w:t>
      </w:r>
      <w:r w:rsidR="007E5DF1" w:rsidRPr="00301629">
        <w:rPr>
          <w:rFonts w:ascii="Times New Roman" w:hAnsi="Times New Roman"/>
          <w:sz w:val="24"/>
          <w:szCs w:val="24"/>
        </w:rPr>
        <w:t>coinvent</w:t>
      </w:r>
      <w:proofErr w:type="spellEnd"/>
      <w:r w:rsidR="007E5DF1" w:rsidRPr="00301629">
        <w:rPr>
          <w:rFonts w:ascii="Times New Roman" w:hAnsi="Times New Roman"/>
          <w:sz w:val="24"/>
          <w:szCs w:val="24"/>
        </w:rPr>
        <w:t xml:space="preserve"> database version </w:t>
      </w:r>
      <w:r w:rsidR="00923DEC" w:rsidRPr="00301629">
        <w:rPr>
          <w:rFonts w:ascii="Times New Roman" w:hAnsi="Times New Roman"/>
          <w:sz w:val="24"/>
          <w:szCs w:val="24"/>
        </w:rPr>
        <w:t>3</w:t>
      </w:r>
      <w:r w:rsidRPr="00301629">
        <w:rPr>
          <w:rFonts w:ascii="Times New Roman" w:hAnsi="Times New Roman"/>
          <w:sz w:val="24"/>
          <w:szCs w:val="24"/>
        </w:rPr>
        <w:t xml:space="preserve"> adjusts parameter value </w:t>
      </w:r>
      <w:r w:rsidR="007E5DF1" w:rsidRPr="00301629">
        <w:rPr>
          <w:rFonts w:ascii="Times New Roman" w:hAnsi="Times New Roman"/>
          <w:sz w:val="24"/>
          <w:szCs w:val="24"/>
        </w:rPr>
        <w:t xml:space="preserve">according </w:t>
      </w:r>
      <w:r w:rsidR="007E5DF1" w:rsidRPr="00301629">
        <w:rPr>
          <w:rFonts w:ascii="Times New Roman" w:hAnsi="Times New Roman"/>
          <w:sz w:val="24"/>
          <w:szCs w:val="24"/>
        </w:rPr>
        <w:lastRenderedPageBreak/>
        <w:t>to a lognormal distribution parameterized</w:t>
      </w:r>
      <w:r w:rsidRPr="00301629">
        <w:rPr>
          <w:rFonts w:ascii="Times New Roman" w:hAnsi="Times New Roman"/>
          <w:sz w:val="24"/>
          <w:szCs w:val="24"/>
        </w:rPr>
        <w:t xml:space="preserve"> based on </w:t>
      </w:r>
      <w:r w:rsidR="007E5DF1" w:rsidRPr="00301629">
        <w:rPr>
          <w:rFonts w:ascii="Times New Roman" w:hAnsi="Times New Roman"/>
          <w:sz w:val="24"/>
          <w:szCs w:val="24"/>
        </w:rPr>
        <w:t xml:space="preserve">a matrix of </w:t>
      </w:r>
      <w:r w:rsidRPr="00301629">
        <w:rPr>
          <w:rFonts w:ascii="Times New Roman" w:hAnsi="Times New Roman"/>
          <w:sz w:val="24"/>
          <w:szCs w:val="24"/>
        </w:rPr>
        <w:t xml:space="preserve">six </w:t>
      </w:r>
      <w:r w:rsidR="007E5DF1" w:rsidRPr="00301629">
        <w:rPr>
          <w:rFonts w:ascii="Times New Roman" w:hAnsi="Times New Roman"/>
          <w:sz w:val="24"/>
          <w:szCs w:val="24"/>
        </w:rPr>
        <w:t xml:space="preserve">data quality </w:t>
      </w:r>
      <w:r w:rsidRPr="00301629">
        <w:rPr>
          <w:rFonts w:ascii="Times New Roman" w:hAnsi="Times New Roman"/>
          <w:sz w:val="24"/>
          <w:szCs w:val="24"/>
        </w:rPr>
        <w:t>categories</w:t>
      </w:r>
      <w:r w:rsidR="007E5DF1" w:rsidRPr="00301629">
        <w:rPr>
          <w:rFonts w:ascii="Times New Roman" w:hAnsi="Times New Roman"/>
          <w:sz w:val="24"/>
          <w:szCs w:val="24"/>
        </w:rPr>
        <w:t xml:space="preserve"> each ranked from 1 (best) to 5 (worst)</w:t>
      </w:r>
      <w:r w:rsidRPr="00301629">
        <w:rPr>
          <w:rFonts w:ascii="Times New Roman" w:hAnsi="Times New Roman"/>
          <w:sz w:val="24"/>
          <w:szCs w:val="24"/>
        </w:rPr>
        <w:t xml:space="preserve">: data type, reliability, completeness, temporal correlation, geographical correlation, and technological correlation </w:t>
      </w:r>
      <w:bookmarkStart w:id="16" w:name="Mendeley_Bookmark_0OHRi2KiwS"/>
      <w:r w:rsidRPr="00301629">
        <w:rPr>
          <w:rFonts w:ascii="Times New Roman" w:hAnsi="Times New Roman"/>
          <w:sz w:val="24"/>
          <w:szCs w:val="24"/>
        </w:rPr>
        <w:t>(</w:t>
      </w:r>
      <w:proofErr w:type="spellStart"/>
      <w:r w:rsidRPr="00301629">
        <w:rPr>
          <w:rFonts w:ascii="Times New Roman" w:hAnsi="Times New Roman"/>
          <w:sz w:val="24"/>
          <w:szCs w:val="24"/>
        </w:rPr>
        <w:t>Ciroth</w:t>
      </w:r>
      <w:proofErr w:type="spellEnd"/>
      <w:r w:rsidRPr="00301629">
        <w:rPr>
          <w:rFonts w:ascii="Times New Roman" w:hAnsi="Times New Roman"/>
          <w:sz w:val="24"/>
          <w:szCs w:val="24"/>
        </w:rPr>
        <w:t xml:space="preserve"> et al. 2012)</w:t>
      </w:r>
      <w:bookmarkEnd w:id="16"/>
      <w:r w:rsidRPr="00301629">
        <w:rPr>
          <w:rFonts w:ascii="Times New Roman" w:hAnsi="Times New Roman"/>
          <w:sz w:val="24"/>
          <w:szCs w:val="24"/>
        </w:rPr>
        <w:t xml:space="preserve">. Stochastic analysis </w:t>
      </w:r>
      <w:r w:rsidR="00655E89">
        <w:rPr>
          <w:rFonts w:ascii="Times New Roman" w:hAnsi="Times New Roman"/>
          <w:sz w:val="24"/>
          <w:szCs w:val="24"/>
        </w:rPr>
        <w:t xml:space="preserve">was </w:t>
      </w:r>
      <w:r w:rsidRPr="00301629">
        <w:rPr>
          <w:rFonts w:ascii="Times New Roman" w:hAnsi="Times New Roman"/>
          <w:sz w:val="24"/>
          <w:szCs w:val="24"/>
        </w:rPr>
        <w:t xml:space="preserve">done </w:t>
      </w:r>
      <w:r w:rsidR="007E5DF1" w:rsidRPr="00301629">
        <w:rPr>
          <w:rFonts w:ascii="Times New Roman" w:hAnsi="Times New Roman"/>
          <w:sz w:val="24"/>
          <w:szCs w:val="24"/>
        </w:rPr>
        <w:t xml:space="preserve">with </w:t>
      </w:r>
      <w:proofErr w:type="spellStart"/>
      <w:r w:rsidR="007E5DF1" w:rsidRPr="00301629">
        <w:rPr>
          <w:rFonts w:ascii="Times New Roman" w:hAnsi="Times New Roman"/>
          <w:sz w:val="24"/>
          <w:szCs w:val="24"/>
        </w:rPr>
        <w:t>SimaPro</w:t>
      </w:r>
      <w:proofErr w:type="spellEnd"/>
      <w:r w:rsidR="007E5DF1" w:rsidRPr="00301629">
        <w:rPr>
          <w:rFonts w:ascii="Times New Roman" w:hAnsi="Times New Roman"/>
          <w:sz w:val="24"/>
          <w:szCs w:val="24"/>
        </w:rPr>
        <w:t xml:space="preserve"> </w:t>
      </w:r>
      <w:r w:rsidRPr="00301629">
        <w:rPr>
          <w:rFonts w:ascii="Times New Roman" w:hAnsi="Times New Roman"/>
          <w:sz w:val="24"/>
          <w:szCs w:val="24"/>
        </w:rPr>
        <w:t xml:space="preserve">using built-in Monte Carlo simulation capabilities with 5000 iterations per model. </w:t>
      </w:r>
    </w:p>
    <w:p w14:paraId="2AF93E3D" w14:textId="3B337D82" w:rsidR="00063A07" w:rsidRPr="00301629" w:rsidRDefault="0099688C" w:rsidP="00655E89">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To clarify differences between models with similar impacts, we ran additional simulations of the difference in impacts between the GAC and IEX water treatment systems at the baseline PFAS concentration of 0.7 µg/l and the maximum concentration of 70 </w:t>
      </w:r>
      <w:r w:rsidR="00D1021B" w:rsidRPr="00301629">
        <w:rPr>
          <w:rFonts w:ascii="Times New Roman" w:hAnsi="Times New Roman"/>
          <w:sz w:val="24"/>
          <w:szCs w:val="24"/>
        </w:rPr>
        <w:t>µ</w:t>
      </w:r>
      <w:r w:rsidRPr="00301629">
        <w:rPr>
          <w:rFonts w:ascii="Times New Roman" w:hAnsi="Times New Roman"/>
          <w:sz w:val="24"/>
          <w:szCs w:val="24"/>
        </w:rPr>
        <w:t>g/l</w:t>
      </w:r>
      <w:r w:rsidR="00D1021B" w:rsidRPr="00301629">
        <w:rPr>
          <w:rFonts w:ascii="Times New Roman" w:hAnsi="Times New Roman"/>
          <w:sz w:val="24"/>
          <w:szCs w:val="24"/>
        </w:rPr>
        <w:t xml:space="preserve">, and between the two bottled water systems (brand 1 and brand 2). Unfortunately, because </w:t>
      </w:r>
      <w:proofErr w:type="spellStart"/>
      <w:r w:rsidR="00D1021B" w:rsidRPr="00301629">
        <w:rPr>
          <w:rFonts w:ascii="Times New Roman" w:hAnsi="Times New Roman"/>
          <w:sz w:val="24"/>
          <w:szCs w:val="24"/>
        </w:rPr>
        <w:t>SimaPro</w:t>
      </w:r>
      <w:proofErr w:type="spellEnd"/>
      <w:r w:rsidR="00D1021B" w:rsidRPr="00301629">
        <w:rPr>
          <w:rFonts w:ascii="Times New Roman" w:hAnsi="Times New Roman"/>
          <w:sz w:val="24"/>
          <w:szCs w:val="24"/>
        </w:rPr>
        <w:t xml:space="preserve"> can only conduct stochastic comparison modeling between systems on an equivalent mass basis, </w:t>
      </w:r>
      <w:r w:rsidR="00BE61C7">
        <w:rPr>
          <w:rFonts w:ascii="Times New Roman" w:hAnsi="Times New Roman"/>
          <w:sz w:val="24"/>
          <w:szCs w:val="24"/>
        </w:rPr>
        <w:t xml:space="preserve">we could not assess </w:t>
      </w:r>
      <w:r w:rsidR="00D1021B" w:rsidRPr="00301629">
        <w:rPr>
          <w:rFonts w:ascii="Times New Roman" w:hAnsi="Times New Roman"/>
          <w:sz w:val="24"/>
          <w:szCs w:val="24"/>
        </w:rPr>
        <w:t>a meaningful comparison of groundwater treatment systems and bottled water provisioning according to our parameters for supply of bottled water only for drinking water for sensitive individuals.</w:t>
      </w:r>
    </w:p>
    <w:p w14:paraId="36D56834" w14:textId="77777777" w:rsidR="00063A07" w:rsidRPr="00301629" w:rsidRDefault="00063A07" w:rsidP="00301629">
      <w:pPr>
        <w:spacing w:after="0" w:line="480" w:lineRule="auto"/>
        <w:rPr>
          <w:rFonts w:ascii="Times New Roman" w:hAnsi="Times New Roman"/>
          <w:sz w:val="24"/>
          <w:szCs w:val="24"/>
        </w:rPr>
      </w:pPr>
    </w:p>
    <w:p w14:paraId="340B55A7" w14:textId="0B5D9129" w:rsidR="00063A07" w:rsidRPr="00BE61C7" w:rsidRDefault="00BE61C7" w:rsidP="00C71B77">
      <w:pPr>
        <w:pStyle w:val="Heading3"/>
        <w:numPr>
          <w:ilvl w:val="1"/>
          <w:numId w:val="2"/>
        </w:numPr>
        <w:spacing w:before="0" w:line="480" w:lineRule="auto"/>
        <w:rPr>
          <w:rFonts w:ascii="Times New Roman" w:hAnsi="Times New Roman"/>
          <w:b/>
          <w:bCs/>
          <w:color w:val="auto"/>
        </w:rPr>
      </w:pPr>
      <w:r>
        <w:rPr>
          <w:rFonts w:ascii="Times New Roman" w:hAnsi="Times New Roman"/>
          <w:b/>
          <w:bCs/>
          <w:color w:val="auto"/>
        </w:rPr>
        <w:t xml:space="preserve"> </w:t>
      </w:r>
      <w:r w:rsidR="00063A07" w:rsidRPr="00BE61C7">
        <w:rPr>
          <w:rFonts w:ascii="Times New Roman" w:hAnsi="Times New Roman"/>
          <w:b/>
          <w:bCs/>
          <w:color w:val="auto"/>
        </w:rPr>
        <w:t>Aggregated Human Health Impacts</w:t>
      </w:r>
    </w:p>
    <w:p w14:paraId="31E1BB70" w14:textId="674C0200" w:rsidR="00063A07" w:rsidRPr="00301629" w:rsidRDefault="00063A07" w:rsidP="00BE61C7">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Life-cycle human health damage due to </w:t>
      </w:r>
      <w:r w:rsidR="002D549E" w:rsidRPr="00301629">
        <w:rPr>
          <w:rFonts w:ascii="Times New Roman" w:hAnsi="Times New Roman"/>
          <w:sz w:val="24"/>
          <w:szCs w:val="24"/>
        </w:rPr>
        <w:t>treatment</w:t>
      </w:r>
      <w:r w:rsidRPr="00301629">
        <w:rPr>
          <w:rFonts w:ascii="Times New Roman" w:hAnsi="Times New Roman"/>
          <w:sz w:val="24"/>
          <w:szCs w:val="24"/>
        </w:rPr>
        <w:t xml:space="preserve"> operations and bottled water provisioning </w:t>
      </w:r>
      <w:r w:rsidR="00A22BB7">
        <w:rPr>
          <w:rFonts w:ascii="Times New Roman" w:hAnsi="Times New Roman"/>
          <w:sz w:val="24"/>
          <w:szCs w:val="24"/>
        </w:rPr>
        <w:t>we</w:t>
      </w:r>
      <w:r w:rsidRPr="00301629">
        <w:rPr>
          <w:rFonts w:ascii="Times New Roman" w:hAnsi="Times New Roman"/>
          <w:sz w:val="24"/>
          <w:szCs w:val="24"/>
        </w:rPr>
        <w:t xml:space="preserve">re calculated by </w:t>
      </w:r>
      <w:proofErr w:type="spellStart"/>
      <w:r w:rsidRPr="00301629">
        <w:rPr>
          <w:rFonts w:ascii="Times New Roman" w:hAnsi="Times New Roman"/>
          <w:sz w:val="24"/>
          <w:szCs w:val="24"/>
        </w:rPr>
        <w:t>SimaPro</w:t>
      </w:r>
      <w:proofErr w:type="spellEnd"/>
      <w:r w:rsidRPr="00301629">
        <w:rPr>
          <w:rFonts w:ascii="Times New Roman" w:hAnsi="Times New Roman"/>
          <w:sz w:val="24"/>
          <w:szCs w:val="24"/>
        </w:rPr>
        <w:t xml:space="preserve"> in comparative toxic units (CTU) which indicate</w:t>
      </w:r>
      <w:r w:rsidR="00A22BB7">
        <w:rPr>
          <w:rFonts w:ascii="Times New Roman" w:hAnsi="Times New Roman"/>
          <w:sz w:val="24"/>
          <w:szCs w:val="24"/>
        </w:rPr>
        <w:t>d</w:t>
      </w:r>
      <w:r w:rsidRPr="00301629">
        <w:rPr>
          <w:rFonts w:ascii="Times New Roman" w:hAnsi="Times New Roman"/>
          <w:sz w:val="24"/>
          <w:szCs w:val="24"/>
        </w:rPr>
        <w:t xml:space="preserve"> the expected incident rate of cancer (c) and noncancer (</w:t>
      </w:r>
      <w:proofErr w:type="spellStart"/>
      <w:r w:rsidRPr="00301629">
        <w:rPr>
          <w:rFonts w:ascii="Times New Roman" w:hAnsi="Times New Roman"/>
          <w:sz w:val="24"/>
          <w:szCs w:val="24"/>
        </w:rPr>
        <w:t>nc</w:t>
      </w:r>
      <w:proofErr w:type="spellEnd"/>
      <w:r w:rsidRPr="00301629">
        <w:rPr>
          <w:rFonts w:ascii="Times New Roman" w:hAnsi="Times New Roman"/>
          <w:sz w:val="24"/>
          <w:szCs w:val="24"/>
        </w:rPr>
        <w:t>) health effects. We convert</w:t>
      </w:r>
      <w:r w:rsidR="00A22BB7">
        <w:rPr>
          <w:rFonts w:ascii="Times New Roman" w:hAnsi="Times New Roman"/>
          <w:sz w:val="24"/>
          <w:szCs w:val="24"/>
        </w:rPr>
        <w:t>ed</w:t>
      </w:r>
      <w:r w:rsidRPr="00301629">
        <w:rPr>
          <w:rFonts w:ascii="Times New Roman" w:hAnsi="Times New Roman"/>
          <w:sz w:val="24"/>
          <w:szCs w:val="24"/>
        </w:rPr>
        <w:t xml:space="preserve"> CTUs to disability-adjusted life-years (DALY) using conversion factors developed by </w:t>
      </w:r>
      <w:proofErr w:type="spellStart"/>
      <w:r w:rsidRPr="00301629">
        <w:rPr>
          <w:rFonts w:ascii="Times New Roman" w:hAnsi="Times New Roman"/>
          <w:sz w:val="24"/>
          <w:szCs w:val="24"/>
        </w:rPr>
        <w:t>Huijbregts</w:t>
      </w:r>
      <w:proofErr w:type="spellEnd"/>
      <w:r w:rsidRPr="00301629">
        <w:rPr>
          <w:rFonts w:ascii="Times New Roman" w:hAnsi="Times New Roman"/>
          <w:sz w:val="24"/>
          <w:szCs w:val="24"/>
        </w:rPr>
        <w:t xml:space="preserve"> et al.</w:t>
      </w:r>
      <w:r w:rsidR="007A2FBB">
        <w:rPr>
          <w:rFonts w:ascii="Times New Roman" w:hAnsi="Times New Roman"/>
          <w:sz w:val="24"/>
          <w:szCs w:val="24"/>
        </w:rPr>
        <w:t xml:space="preserve"> (2005)</w:t>
      </w:r>
      <w:r w:rsidRPr="00301629">
        <w:rPr>
          <w:rFonts w:ascii="Times New Roman" w:hAnsi="Times New Roman"/>
          <w:sz w:val="24"/>
          <w:szCs w:val="24"/>
        </w:rPr>
        <w:t xml:space="preserve"> </w:t>
      </w:r>
      <w:bookmarkStart w:id="17" w:name="Mendeley_Bookmark_xKlIpf2gBK"/>
      <w:r w:rsidR="008353CA" w:rsidRPr="00301629">
        <w:rPr>
          <w:rFonts w:ascii="Times New Roman" w:hAnsi="Times New Roman"/>
          <w:sz w:val="24"/>
          <w:szCs w:val="24"/>
        </w:rPr>
        <w:t>(11.5 DALY per cancer CTU and 2.7 DALY per non-cancer CTU)</w:t>
      </w:r>
      <w:bookmarkEnd w:id="17"/>
      <w:r w:rsidRPr="00301629">
        <w:rPr>
          <w:rFonts w:ascii="Times New Roman" w:hAnsi="Times New Roman"/>
          <w:sz w:val="24"/>
          <w:szCs w:val="24"/>
        </w:rPr>
        <w:t xml:space="preserve">. Economic endpoints </w:t>
      </w:r>
      <w:r w:rsidR="00A22BB7">
        <w:rPr>
          <w:rFonts w:ascii="Times New Roman" w:hAnsi="Times New Roman"/>
          <w:sz w:val="24"/>
          <w:szCs w:val="24"/>
        </w:rPr>
        <w:t>we</w:t>
      </w:r>
      <w:r w:rsidRPr="00301629">
        <w:rPr>
          <w:rFonts w:ascii="Times New Roman" w:hAnsi="Times New Roman"/>
          <w:sz w:val="24"/>
          <w:szCs w:val="24"/>
        </w:rPr>
        <w:t xml:space="preserve">re presented by using the US EPA guidelines on value of a statistical life (VSL), $10.7 million in 2017 </w:t>
      </w:r>
      <w:bookmarkStart w:id="18" w:name="Mendeley_Bookmark_8R4TbenSNQ"/>
      <w:r w:rsidRPr="00301629">
        <w:rPr>
          <w:rFonts w:ascii="Times New Roman" w:hAnsi="Times New Roman"/>
          <w:sz w:val="24"/>
          <w:szCs w:val="24"/>
        </w:rPr>
        <w:t>(USEPA 2016d)</w:t>
      </w:r>
      <w:bookmarkEnd w:id="18"/>
      <w:r w:rsidRPr="00301629">
        <w:rPr>
          <w:rFonts w:ascii="Times New Roman" w:hAnsi="Times New Roman"/>
          <w:sz w:val="24"/>
          <w:szCs w:val="24"/>
        </w:rPr>
        <w:t xml:space="preserve"> and average US life expectancy of 78.8 years </w:t>
      </w:r>
      <w:bookmarkStart w:id="19" w:name="Mendeley_Bookmark_doyrlHEPVG"/>
      <w:r w:rsidRPr="00301629">
        <w:rPr>
          <w:rFonts w:ascii="Times New Roman" w:hAnsi="Times New Roman"/>
          <w:sz w:val="24"/>
          <w:szCs w:val="24"/>
        </w:rPr>
        <w:t>(USCDC 2016)</w:t>
      </w:r>
      <w:bookmarkEnd w:id="19"/>
      <w:r w:rsidRPr="00301629">
        <w:rPr>
          <w:rFonts w:ascii="Times New Roman" w:hAnsi="Times New Roman"/>
          <w:sz w:val="24"/>
          <w:szCs w:val="24"/>
        </w:rPr>
        <w:t xml:space="preserve">. The </w:t>
      </w:r>
      <w:r w:rsidRPr="00301629">
        <w:rPr>
          <w:rFonts w:ascii="Times New Roman" w:hAnsi="Times New Roman"/>
          <w:sz w:val="24"/>
          <w:szCs w:val="24"/>
        </w:rPr>
        <w:lastRenderedPageBreak/>
        <w:t xml:space="preserve">economic value of a DALY (VDALY) </w:t>
      </w:r>
      <w:r w:rsidR="00A22BB7">
        <w:rPr>
          <w:rFonts w:ascii="Times New Roman" w:hAnsi="Times New Roman"/>
          <w:sz w:val="24"/>
          <w:szCs w:val="24"/>
        </w:rPr>
        <w:t>wa</w:t>
      </w:r>
      <w:r w:rsidRPr="00301629">
        <w:rPr>
          <w:rFonts w:ascii="Times New Roman" w:hAnsi="Times New Roman"/>
          <w:sz w:val="24"/>
          <w:szCs w:val="24"/>
        </w:rPr>
        <w:t>s estimated as $136,000 based upon the ratio of VSL to life expectancy.</w:t>
      </w:r>
    </w:p>
    <w:p w14:paraId="3BE09460" w14:textId="77777777" w:rsidR="00063A07" w:rsidRPr="00301629" w:rsidRDefault="00063A07" w:rsidP="00301629">
      <w:pPr>
        <w:spacing w:after="0" w:line="480" w:lineRule="auto"/>
        <w:rPr>
          <w:rFonts w:ascii="Times New Roman" w:eastAsia="Times New Roman" w:hAnsi="Times New Roman"/>
          <w:color w:val="2F5496"/>
          <w:sz w:val="24"/>
          <w:szCs w:val="24"/>
        </w:rPr>
      </w:pPr>
    </w:p>
    <w:p w14:paraId="31A8F4CD" w14:textId="2C3B01D4" w:rsidR="00063A07" w:rsidRDefault="00A22BB7" w:rsidP="00A22BB7">
      <w:pPr>
        <w:pStyle w:val="Heading2"/>
        <w:numPr>
          <w:ilvl w:val="0"/>
          <w:numId w:val="3"/>
        </w:numPr>
        <w:spacing w:before="0" w:line="480" w:lineRule="auto"/>
        <w:rPr>
          <w:rFonts w:ascii="Times New Roman" w:hAnsi="Times New Roman"/>
          <w:b/>
          <w:bCs/>
          <w:color w:val="auto"/>
          <w:sz w:val="24"/>
          <w:szCs w:val="24"/>
        </w:rPr>
      </w:pPr>
      <w:r>
        <w:rPr>
          <w:rFonts w:ascii="Times New Roman" w:hAnsi="Times New Roman"/>
          <w:b/>
          <w:bCs/>
          <w:color w:val="auto"/>
          <w:sz w:val="24"/>
          <w:szCs w:val="24"/>
        </w:rPr>
        <w:t xml:space="preserve"> </w:t>
      </w:r>
      <w:r w:rsidR="00063A07" w:rsidRPr="00A22BB7">
        <w:rPr>
          <w:rFonts w:ascii="Times New Roman" w:hAnsi="Times New Roman"/>
          <w:b/>
          <w:bCs/>
          <w:color w:val="auto"/>
          <w:sz w:val="24"/>
          <w:szCs w:val="24"/>
        </w:rPr>
        <w:t>Results</w:t>
      </w:r>
    </w:p>
    <w:p w14:paraId="7C871EAE" w14:textId="77777777" w:rsidR="00A22BB7" w:rsidRPr="00A22BB7" w:rsidRDefault="00A22BB7" w:rsidP="00A22BB7"/>
    <w:p w14:paraId="39C432B7" w14:textId="202B49B4" w:rsidR="00063A07" w:rsidRPr="00A22BB7" w:rsidRDefault="00A22BB7" w:rsidP="00A22BB7">
      <w:pPr>
        <w:pStyle w:val="Heading3"/>
        <w:spacing w:before="0" w:line="480" w:lineRule="auto"/>
        <w:rPr>
          <w:rFonts w:ascii="Times New Roman" w:hAnsi="Times New Roman"/>
          <w:b/>
          <w:bCs/>
          <w:color w:val="auto"/>
        </w:rPr>
      </w:pPr>
      <w:proofErr w:type="gramStart"/>
      <w:r>
        <w:rPr>
          <w:rFonts w:ascii="Times New Roman" w:hAnsi="Times New Roman"/>
          <w:b/>
          <w:bCs/>
          <w:color w:val="auto"/>
        </w:rPr>
        <w:t xml:space="preserve">3.1  </w:t>
      </w:r>
      <w:r w:rsidR="00063A07" w:rsidRPr="00A22BB7">
        <w:rPr>
          <w:rFonts w:ascii="Times New Roman" w:hAnsi="Times New Roman"/>
          <w:b/>
          <w:bCs/>
          <w:color w:val="auto"/>
        </w:rPr>
        <w:t>Groundwater</w:t>
      </w:r>
      <w:proofErr w:type="gramEnd"/>
      <w:r w:rsidR="00063A07" w:rsidRPr="00A22BB7">
        <w:rPr>
          <w:rFonts w:ascii="Times New Roman" w:hAnsi="Times New Roman"/>
          <w:b/>
          <w:bCs/>
          <w:color w:val="auto"/>
        </w:rPr>
        <w:t xml:space="preserve"> </w:t>
      </w:r>
      <w:r w:rsidR="002D549E" w:rsidRPr="00A22BB7">
        <w:rPr>
          <w:rFonts w:ascii="Times New Roman" w:hAnsi="Times New Roman"/>
          <w:b/>
          <w:bCs/>
          <w:color w:val="auto"/>
        </w:rPr>
        <w:t>treatment</w:t>
      </w:r>
    </w:p>
    <w:p w14:paraId="36DA72F1" w14:textId="6C69392B" w:rsidR="00063A07" w:rsidRDefault="00063A07" w:rsidP="00A22BB7">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Life-cycle impacts of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at the baseline concentration of 0.7 µg/L PFAS </w:t>
      </w:r>
      <w:r w:rsidR="009342CD">
        <w:rPr>
          <w:rFonts w:ascii="Times New Roman" w:hAnsi="Times New Roman"/>
          <w:sz w:val="24"/>
          <w:szCs w:val="24"/>
        </w:rPr>
        <w:t>we</w:t>
      </w:r>
      <w:r w:rsidRPr="00301629">
        <w:rPr>
          <w:rFonts w:ascii="Times New Roman" w:hAnsi="Times New Roman"/>
          <w:sz w:val="24"/>
          <w:szCs w:val="24"/>
        </w:rPr>
        <w:t xml:space="preserve">re dominated by electricity use at the treatment facility, which </w:t>
      </w:r>
      <w:r w:rsidR="00321AED">
        <w:rPr>
          <w:rFonts w:ascii="Times New Roman" w:hAnsi="Times New Roman"/>
          <w:sz w:val="24"/>
          <w:szCs w:val="24"/>
        </w:rPr>
        <w:t>wa</w:t>
      </w:r>
      <w:r w:rsidRPr="00301629">
        <w:rPr>
          <w:rFonts w:ascii="Times New Roman" w:hAnsi="Times New Roman"/>
          <w:sz w:val="24"/>
          <w:szCs w:val="24"/>
        </w:rPr>
        <w:t xml:space="preserve">s responsible for 90% and 95% of GWP impacts in GAC-based and IEX-based treatment systems, respectively. Remaining sources of GWP </w:t>
      </w:r>
      <w:r w:rsidR="00321AED">
        <w:rPr>
          <w:rFonts w:ascii="Times New Roman" w:hAnsi="Times New Roman"/>
          <w:sz w:val="24"/>
          <w:szCs w:val="24"/>
        </w:rPr>
        <w:t>included</w:t>
      </w:r>
      <w:r w:rsidRPr="00301629">
        <w:rPr>
          <w:rFonts w:ascii="Times New Roman" w:hAnsi="Times New Roman"/>
          <w:sz w:val="24"/>
          <w:szCs w:val="24"/>
        </w:rPr>
        <w:t xml:space="preserve"> GAC supply and reactivation and on-site infrastructure and equipment (7% and 3% respectively, in the GAC model) and on-site IEX infrastructure and equipment (4%). Other life-cycle impacts </w:t>
      </w:r>
      <w:r w:rsidR="00321AED">
        <w:rPr>
          <w:rFonts w:ascii="Times New Roman" w:hAnsi="Times New Roman"/>
          <w:sz w:val="24"/>
          <w:szCs w:val="24"/>
        </w:rPr>
        <w:t>we</w:t>
      </w:r>
      <w:r w:rsidRPr="00301629">
        <w:rPr>
          <w:rFonts w:ascii="Times New Roman" w:hAnsi="Times New Roman"/>
          <w:sz w:val="24"/>
          <w:szCs w:val="24"/>
        </w:rPr>
        <w:t>re highly correlated with energy use</w:t>
      </w:r>
      <w:r w:rsidR="00321AED">
        <w:rPr>
          <w:rFonts w:ascii="Times New Roman" w:hAnsi="Times New Roman"/>
          <w:sz w:val="24"/>
          <w:szCs w:val="24"/>
        </w:rPr>
        <w:t xml:space="preserve">; </w:t>
      </w:r>
      <w:r w:rsidRPr="00301629">
        <w:rPr>
          <w:rFonts w:ascii="Times New Roman" w:hAnsi="Times New Roman"/>
          <w:sz w:val="24"/>
          <w:szCs w:val="24"/>
        </w:rPr>
        <w:t>human health, ecotoxicity, smog formation</w:t>
      </w:r>
      <w:r w:rsidR="00C71155" w:rsidRPr="00301629">
        <w:rPr>
          <w:rFonts w:ascii="Times New Roman" w:hAnsi="Times New Roman"/>
          <w:sz w:val="24"/>
          <w:szCs w:val="24"/>
        </w:rPr>
        <w:t>, and other</w:t>
      </w:r>
      <w:r w:rsidRPr="00301629">
        <w:rPr>
          <w:rFonts w:ascii="Times New Roman" w:hAnsi="Times New Roman"/>
          <w:sz w:val="24"/>
          <w:szCs w:val="24"/>
        </w:rPr>
        <w:t xml:space="preserve"> impacts </w:t>
      </w:r>
      <w:r w:rsidR="00321AED">
        <w:rPr>
          <w:rFonts w:ascii="Times New Roman" w:hAnsi="Times New Roman"/>
          <w:sz w:val="24"/>
          <w:szCs w:val="24"/>
        </w:rPr>
        <w:t>we</w:t>
      </w:r>
      <w:r w:rsidRPr="00301629">
        <w:rPr>
          <w:rFonts w:ascii="Times New Roman" w:hAnsi="Times New Roman"/>
          <w:sz w:val="24"/>
          <w:szCs w:val="24"/>
        </w:rPr>
        <w:t xml:space="preserve">re similar between the GAC and IEX </w:t>
      </w:r>
      <w:r w:rsidR="002D549E" w:rsidRPr="00301629">
        <w:rPr>
          <w:rFonts w:ascii="Times New Roman" w:hAnsi="Times New Roman"/>
          <w:sz w:val="24"/>
          <w:szCs w:val="24"/>
        </w:rPr>
        <w:t>treatment</w:t>
      </w:r>
      <w:r w:rsidRPr="00301629">
        <w:rPr>
          <w:rFonts w:ascii="Times New Roman" w:hAnsi="Times New Roman"/>
          <w:sz w:val="24"/>
          <w:szCs w:val="24"/>
        </w:rPr>
        <w:t xml:space="preserve"> methods (Table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1).</w:t>
      </w:r>
      <w:r w:rsidR="00C71155" w:rsidRPr="00301629">
        <w:rPr>
          <w:rFonts w:ascii="Times New Roman" w:hAnsi="Times New Roman"/>
          <w:sz w:val="24"/>
          <w:szCs w:val="24"/>
        </w:rPr>
        <w:t xml:space="preserve"> Ozone depletion, impacted by the production of ion-exchange resins, </w:t>
      </w:r>
      <w:r w:rsidR="00321AED">
        <w:rPr>
          <w:rFonts w:ascii="Times New Roman" w:hAnsi="Times New Roman"/>
          <w:sz w:val="24"/>
          <w:szCs w:val="24"/>
        </w:rPr>
        <w:t>wa</w:t>
      </w:r>
      <w:r w:rsidR="00C71155" w:rsidRPr="00301629">
        <w:rPr>
          <w:rFonts w:ascii="Times New Roman" w:hAnsi="Times New Roman"/>
          <w:sz w:val="24"/>
          <w:szCs w:val="24"/>
        </w:rPr>
        <w:t>s higher in the IEX treatment scenarios.</w:t>
      </w:r>
    </w:p>
    <w:p w14:paraId="1773FAF8" w14:textId="77777777" w:rsidR="0053029C" w:rsidRDefault="0053029C" w:rsidP="0053029C">
      <w:pPr>
        <w:spacing w:after="0" w:line="480" w:lineRule="auto"/>
        <w:rPr>
          <w:rFonts w:ascii="Times New Roman" w:hAnsi="Times New Roman"/>
          <w:sz w:val="24"/>
          <w:szCs w:val="24"/>
        </w:rPr>
        <w:sectPr w:rsidR="0053029C" w:rsidSect="0054041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11756C71" w14:textId="5EA11EE7" w:rsidR="0053029C" w:rsidRPr="0053029C" w:rsidRDefault="0053029C" w:rsidP="0053029C">
      <w:pPr>
        <w:jc w:val="center"/>
        <w:rPr>
          <w:rFonts w:ascii="Times New Roman" w:hAnsi="Times New Roman"/>
          <w:sz w:val="24"/>
          <w:szCs w:val="24"/>
        </w:rPr>
      </w:pPr>
      <w:r w:rsidRPr="008E6EED">
        <w:rPr>
          <w:rFonts w:ascii="Times New Roman" w:hAnsi="Times New Roman"/>
          <w:sz w:val="24"/>
          <w:szCs w:val="24"/>
        </w:rPr>
        <w:lastRenderedPageBreak/>
        <w:t xml:space="preserve">Table </w:t>
      </w:r>
      <w:r w:rsidR="002D1E76">
        <w:rPr>
          <w:rFonts w:ascii="Times New Roman" w:hAnsi="Times New Roman"/>
          <w:sz w:val="24"/>
          <w:szCs w:val="24"/>
        </w:rPr>
        <w:t>E5</w:t>
      </w:r>
      <w:r w:rsidR="008E6EED" w:rsidRPr="008E6EED">
        <w:rPr>
          <w:rFonts w:ascii="Times New Roman" w:hAnsi="Times New Roman"/>
          <w:sz w:val="24"/>
          <w:szCs w:val="24"/>
        </w:rPr>
        <w:t>.</w:t>
      </w:r>
      <w:r w:rsidRPr="008E6EED">
        <w:rPr>
          <w:rFonts w:ascii="Times New Roman" w:hAnsi="Times New Roman"/>
          <w:sz w:val="24"/>
          <w:szCs w:val="24"/>
        </w:rPr>
        <w:t>1.</w:t>
      </w:r>
      <w:r w:rsidRPr="0053029C">
        <w:rPr>
          <w:rFonts w:ascii="Times New Roman" w:hAnsi="Times New Roman"/>
          <w:sz w:val="24"/>
          <w:szCs w:val="24"/>
        </w:rPr>
        <w:t xml:space="preserve"> Deterministic model results for supply of 1 m</w:t>
      </w:r>
      <w:r w:rsidRPr="0053029C">
        <w:rPr>
          <w:rFonts w:ascii="Times New Roman" w:hAnsi="Times New Roman"/>
          <w:sz w:val="24"/>
          <w:szCs w:val="24"/>
          <w:vertAlign w:val="superscript"/>
        </w:rPr>
        <w:t>3</w:t>
      </w:r>
      <w:r w:rsidRPr="0053029C">
        <w:rPr>
          <w:rFonts w:ascii="Times New Roman" w:hAnsi="Times New Roman"/>
          <w:sz w:val="24"/>
          <w:szCs w:val="24"/>
        </w:rPr>
        <w:t xml:space="preserve"> treated groundwater water or bottled water</w:t>
      </w:r>
    </w:p>
    <w:tbl>
      <w:tblPr>
        <w:tblStyle w:val="TableGrid"/>
        <w:tblW w:w="12144" w:type="dxa"/>
        <w:tblInd w:w="-5" w:type="dxa"/>
        <w:tblLook w:val="04A0" w:firstRow="1" w:lastRow="0" w:firstColumn="1" w:lastColumn="0" w:noHBand="0" w:noVBand="1"/>
      </w:tblPr>
      <w:tblGrid>
        <w:gridCol w:w="1986"/>
        <w:gridCol w:w="1158"/>
        <w:gridCol w:w="900"/>
        <w:gridCol w:w="900"/>
        <w:gridCol w:w="900"/>
        <w:gridCol w:w="900"/>
        <w:gridCol w:w="900"/>
        <w:gridCol w:w="900"/>
        <w:gridCol w:w="900"/>
        <w:gridCol w:w="900"/>
        <w:gridCol w:w="900"/>
        <w:gridCol w:w="900"/>
      </w:tblGrid>
      <w:tr w:rsidR="0053029C" w14:paraId="087EBEC0"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60CDE2B9" w14:textId="77777777" w:rsidR="0053029C" w:rsidRDefault="0053029C">
            <w:pP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noWrap/>
            <w:hideMark/>
          </w:tcPr>
          <w:p w14:paraId="557FAB79"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Scenario</w:t>
            </w:r>
          </w:p>
        </w:tc>
        <w:tc>
          <w:tcPr>
            <w:tcW w:w="5400" w:type="dxa"/>
            <w:gridSpan w:val="6"/>
            <w:tcBorders>
              <w:top w:val="single" w:sz="4" w:space="0" w:color="auto"/>
              <w:left w:val="single" w:sz="4" w:space="0" w:color="auto"/>
              <w:bottom w:val="single" w:sz="4" w:space="0" w:color="auto"/>
              <w:right w:val="single" w:sz="4" w:space="0" w:color="auto"/>
            </w:tcBorders>
            <w:noWrap/>
            <w:hideMark/>
          </w:tcPr>
          <w:p w14:paraId="1DE219C0" w14:textId="77777777" w:rsidR="0053029C" w:rsidRDefault="0053029C">
            <w:pPr>
              <w:spacing w:after="0" w:line="240" w:lineRule="auto"/>
              <w:rPr>
                <w:rFonts w:ascii="Arial" w:eastAsia="Times New Roman" w:hAnsi="Arial" w:cs="Arial"/>
                <w:sz w:val="18"/>
                <w:szCs w:val="18"/>
              </w:rPr>
            </w:pPr>
            <w:r>
              <w:rPr>
                <w:rFonts w:ascii="Arial" w:eastAsia="Times New Roman" w:hAnsi="Arial" w:cs="Arial"/>
                <w:color w:val="000000"/>
                <w:sz w:val="18"/>
                <w:szCs w:val="18"/>
              </w:rPr>
              <w:t>PFOA + PFAS Combined Concentration (µg/L)</w:t>
            </w:r>
          </w:p>
        </w:tc>
        <w:tc>
          <w:tcPr>
            <w:tcW w:w="1800" w:type="dxa"/>
            <w:gridSpan w:val="2"/>
            <w:vMerge w:val="restart"/>
            <w:tcBorders>
              <w:top w:val="single" w:sz="4" w:space="0" w:color="auto"/>
              <w:left w:val="single" w:sz="4" w:space="0" w:color="auto"/>
              <w:bottom w:val="single" w:sz="4" w:space="0" w:color="auto"/>
              <w:right w:val="single" w:sz="4" w:space="0" w:color="auto"/>
            </w:tcBorders>
            <w:noWrap/>
            <w:hideMark/>
          </w:tcPr>
          <w:p w14:paraId="06029798" w14:textId="77777777" w:rsidR="0053029C" w:rsidRDefault="0053029C">
            <w:pPr>
              <w:spacing w:after="0" w:line="240" w:lineRule="auto"/>
              <w:rPr>
                <w:rFonts w:ascii="Arial" w:eastAsia="Times New Roman" w:hAnsi="Arial" w:cs="Arial"/>
                <w:sz w:val="18"/>
                <w:szCs w:val="18"/>
              </w:rPr>
            </w:pPr>
            <w:r>
              <w:rPr>
                <w:rFonts w:ascii="Arial" w:eastAsia="Times New Roman" w:hAnsi="Arial" w:cs="Arial"/>
                <w:color w:val="000000"/>
                <w:sz w:val="18"/>
                <w:szCs w:val="18"/>
              </w:rPr>
              <w:t>Local Distribution</w:t>
            </w:r>
          </w:p>
        </w:tc>
        <w:tc>
          <w:tcPr>
            <w:tcW w:w="1800" w:type="dxa"/>
            <w:gridSpan w:val="2"/>
            <w:vMerge w:val="restart"/>
            <w:tcBorders>
              <w:top w:val="single" w:sz="4" w:space="0" w:color="auto"/>
              <w:left w:val="single" w:sz="4" w:space="0" w:color="auto"/>
              <w:bottom w:val="single" w:sz="4" w:space="0" w:color="auto"/>
              <w:right w:val="single" w:sz="4" w:space="0" w:color="auto"/>
            </w:tcBorders>
            <w:noWrap/>
            <w:hideMark/>
          </w:tcPr>
          <w:p w14:paraId="2C7E6894" w14:textId="77777777" w:rsidR="0053029C" w:rsidRDefault="0053029C">
            <w:pPr>
              <w:spacing w:after="0" w:line="240" w:lineRule="auto"/>
              <w:rPr>
                <w:rFonts w:ascii="Arial" w:eastAsia="Times New Roman" w:hAnsi="Arial" w:cs="Arial"/>
                <w:sz w:val="18"/>
                <w:szCs w:val="18"/>
              </w:rPr>
            </w:pPr>
            <w:r>
              <w:rPr>
                <w:rFonts w:ascii="Arial" w:eastAsia="Times New Roman" w:hAnsi="Arial" w:cs="Arial"/>
                <w:color w:val="000000"/>
                <w:sz w:val="18"/>
                <w:szCs w:val="18"/>
              </w:rPr>
              <w:t>Resident Pickup</w:t>
            </w:r>
          </w:p>
        </w:tc>
      </w:tr>
      <w:tr w:rsidR="0053029C" w14:paraId="46A44792"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01687C15" w14:textId="77777777" w:rsidR="0053029C" w:rsidRDefault="0053029C">
            <w:pPr>
              <w:rPr>
                <w:rFonts w:ascii="Arial" w:eastAsia="Times New Roman" w:hAnsi="Arial" w:cs="Arial"/>
                <w:sz w:val="18"/>
                <w:szCs w:val="18"/>
              </w:rPr>
            </w:pPr>
          </w:p>
        </w:tc>
        <w:tc>
          <w:tcPr>
            <w:tcW w:w="1158" w:type="dxa"/>
            <w:tcBorders>
              <w:top w:val="single" w:sz="4" w:space="0" w:color="auto"/>
              <w:left w:val="single" w:sz="4" w:space="0" w:color="auto"/>
              <w:bottom w:val="single" w:sz="4" w:space="0" w:color="auto"/>
              <w:right w:val="single" w:sz="4" w:space="0" w:color="auto"/>
            </w:tcBorders>
            <w:noWrap/>
            <w:hideMark/>
          </w:tcPr>
          <w:p w14:paraId="206CEB2D" w14:textId="77777777" w:rsidR="0053029C" w:rsidRDefault="0053029C">
            <w:pPr>
              <w:spacing w:after="0" w:line="240" w:lineRule="auto"/>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noWrap/>
            <w:hideMark/>
          </w:tcPr>
          <w:p w14:paraId="0D86E402" w14:textId="77777777" w:rsidR="0053029C" w:rsidRDefault="0053029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0.7</w:t>
            </w:r>
          </w:p>
        </w:tc>
        <w:tc>
          <w:tcPr>
            <w:tcW w:w="1800" w:type="dxa"/>
            <w:gridSpan w:val="2"/>
            <w:tcBorders>
              <w:top w:val="single" w:sz="4" w:space="0" w:color="auto"/>
              <w:left w:val="single" w:sz="4" w:space="0" w:color="auto"/>
              <w:bottom w:val="single" w:sz="4" w:space="0" w:color="auto"/>
              <w:right w:val="single" w:sz="4" w:space="0" w:color="auto"/>
            </w:tcBorders>
            <w:noWrap/>
            <w:hideMark/>
          </w:tcPr>
          <w:p w14:paraId="0AE5EAB9" w14:textId="77777777" w:rsidR="0053029C" w:rsidRDefault="0053029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7.0</w:t>
            </w:r>
          </w:p>
        </w:tc>
        <w:tc>
          <w:tcPr>
            <w:tcW w:w="1800" w:type="dxa"/>
            <w:gridSpan w:val="2"/>
            <w:tcBorders>
              <w:top w:val="single" w:sz="4" w:space="0" w:color="auto"/>
              <w:left w:val="single" w:sz="4" w:space="0" w:color="auto"/>
              <w:bottom w:val="single" w:sz="4" w:space="0" w:color="auto"/>
              <w:right w:val="single" w:sz="4" w:space="0" w:color="auto"/>
            </w:tcBorders>
            <w:noWrap/>
            <w:hideMark/>
          </w:tcPr>
          <w:p w14:paraId="316A69B4" w14:textId="77777777" w:rsidR="0053029C" w:rsidRDefault="0053029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65D9D8" w14:textId="77777777" w:rsidR="0053029C" w:rsidRDefault="0053029C">
            <w:pPr>
              <w:spacing w:after="0" w:line="240" w:lineRule="auto"/>
              <w:rPr>
                <w:rFonts w:ascii="Arial" w:eastAsia="Times New Roman"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63258D" w14:textId="77777777" w:rsidR="0053029C" w:rsidRDefault="0053029C">
            <w:pPr>
              <w:spacing w:after="0" w:line="240" w:lineRule="auto"/>
              <w:rPr>
                <w:rFonts w:ascii="Arial" w:eastAsia="Times New Roman" w:hAnsi="Arial" w:cs="Arial"/>
                <w:sz w:val="18"/>
                <w:szCs w:val="18"/>
              </w:rPr>
            </w:pPr>
          </w:p>
        </w:tc>
      </w:tr>
      <w:tr w:rsidR="0053029C" w14:paraId="7B03A512"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275A9278" w14:textId="77777777" w:rsidR="0053029C" w:rsidRDefault="0053029C">
            <w:pPr>
              <w:rPr>
                <w:rFonts w:ascii="Arial" w:eastAsia="Times New Roman" w:hAnsi="Arial" w:cs="Arial"/>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noWrap/>
            <w:hideMark/>
          </w:tcPr>
          <w:p w14:paraId="58B1C4AF" w14:textId="77777777" w:rsidR="0053029C" w:rsidRDefault="0053029C">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noWrap/>
            <w:hideMark/>
          </w:tcPr>
          <w:p w14:paraId="36D3452B"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GAC</w:t>
            </w:r>
          </w:p>
        </w:tc>
        <w:tc>
          <w:tcPr>
            <w:tcW w:w="900" w:type="dxa"/>
            <w:tcBorders>
              <w:top w:val="single" w:sz="4" w:space="0" w:color="auto"/>
              <w:left w:val="single" w:sz="4" w:space="0" w:color="auto"/>
              <w:bottom w:val="single" w:sz="4" w:space="0" w:color="auto"/>
              <w:right w:val="single" w:sz="4" w:space="0" w:color="auto"/>
            </w:tcBorders>
            <w:noWrap/>
            <w:hideMark/>
          </w:tcPr>
          <w:p w14:paraId="6211430F"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IEX</w:t>
            </w:r>
          </w:p>
        </w:tc>
        <w:tc>
          <w:tcPr>
            <w:tcW w:w="900" w:type="dxa"/>
            <w:tcBorders>
              <w:top w:val="single" w:sz="4" w:space="0" w:color="auto"/>
              <w:left w:val="single" w:sz="4" w:space="0" w:color="auto"/>
              <w:bottom w:val="single" w:sz="4" w:space="0" w:color="auto"/>
              <w:right w:val="single" w:sz="4" w:space="0" w:color="auto"/>
            </w:tcBorders>
            <w:noWrap/>
            <w:hideMark/>
          </w:tcPr>
          <w:p w14:paraId="4B467861"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GAC</w:t>
            </w:r>
          </w:p>
        </w:tc>
        <w:tc>
          <w:tcPr>
            <w:tcW w:w="900" w:type="dxa"/>
            <w:tcBorders>
              <w:top w:val="single" w:sz="4" w:space="0" w:color="auto"/>
              <w:left w:val="single" w:sz="4" w:space="0" w:color="auto"/>
              <w:bottom w:val="single" w:sz="4" w:space="0" w:color="auto"/>
              <w:right w:val="single" w:sz="4" w:space="0" w:color="auto"/>
            </w:tcBorders>
            <w:noWrap/>
            <w:hideMark/>
          </w:tcPr>
          <w:p w14:paraId="69850A96"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IEX</w:t>
            </w:r>
          </w:p>
        </w:tc>
        <w:tc>
          <w:tcPr>
            <w:tcW w:w="900" w:type="dxa"/>
            <w:tcBorders>
              <w:top w:val="single" w:sz="4" w:space="0" w:color="auto"/>
              <w:left w:val="single" w:sz="4" w:space="0" w:color="auto"/>
              <w:bottom w:val="single" w:sz="4" w:space="0" w:color="auto"/>
              <w:right w:val="single" w:sz="4" w:space="0" w:color="auto"/>
            </w:tcBorders>
            <w:noWrap/>
            <w:hideMark/>
          </w:tcPr>
          <w:p w14:paraId="2FF4052B"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GAC</w:t>
            </w:r>
          </w:p>
        </w:tc>
        <w:tc>
          <w:tcPr>
            <w:tcW w:w="900" w:type="dxa"/>
            <w:tcBorders>
              <w:top w:val="single" w:sz="4" w:space="0" w:color="auto"/>
              <w:left w:val="single" w:sz="4" w:space="0" w:color="auto"/>
              <w:bottom w:val="single" w:sz="4" w:space="0" w:color="auto"/>
              <w:right w:val="single" w:sz="4" w:space="0" w:color="auto"/>
            </w:tcBorders>
            <w:noWrap/>
            <w:hideMark/>
          </w:tcPr>
          <w:p w14:paraId="3F7712F2"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IEX</w:t>
            </w:r>
          </w:p>
        </w:tc>
        <w:tc>
          <w:tcPr>
            <w:tcW w:w="900" w:type="dxa"/>
            <w:tcBorders>
              <w:top w:val="single" w:sz="4" w:space="0" w:color="auto"/>
              <w:left w:val="single" w:sz="4" w:space="0" w:color="auto"/>
              <w:bottom w:val="single" w:sz="4" w:space="0" w:color="auto"/>
              <w:right w:val="single" w:sz="4" w:space="0" w:color="auto"/>
            </w:tcBorders>
            <w:noWrap/>
            <w:hideMark/>
          </w:tcPr>
          <w:p w14:paraId="561E9CF6"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Brand 1</w:t>
            </w:r>
          </w:p>
        </w:tc>
        <w:tc>
          <w:tcPr>
            <w:tcW w:w="900" w:type="dxa"/>
            <w:tcBorders>
              <w:top w:val="single" w:sz="4" w:space="0" w:color="auto"/>
              <w:left w:val="single" w:sz="4" w:space="0" w:color="auto"/>
              <w:bottom w:val="single" w:sz="4" w:space="0" w:color="auto"/>
              <w:right w:val="single" w:sz="4" w:space="0" w:color="auto"/>
            </w:tcBorders>
            <w:noWrap/>
            <w:hideMark/>
          </w:tcPr>
          <w:p w14:paraId="6F787B68"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Brand 2</w:t>
            </w:r>
          </w:p>
        </w:tc>
        <w:tc>
          <w:tcPr>
            <w:tcW w:w="900" w:type="dxa"/>
            <w:tcBorders>
              <w:top w:val="single" w:sz="4" w:space="0" w:color="auto"/>
              <w:left w:val="single" w:sz="4" w:space="0" w:color="auto"/>
              <w:bottom w:val="single" w:sz="4" w:space="0" w:color="auto"/>
              <w:right w:val="single" w:sz="4" w:space="0" w:color="auto"/>
            </w:tcBorders>
            <w:noWrap/>
            <w:hideMark/>
          </w:tcPr>
          <w:p w14:paraId="7C233026"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Brand 1</w:t>
            </w:r>
          </w:p>
        </w:tc>
        <w:tc>
          <w:tcPr>
            <w:tcW w:w="900" w:type="dxa"/>
            <w:tcBorders>
              <w:top w:val="single" w:sz="4" w:space="0" w:color="auto"/>
              <w:left w:val="single" w:sz="4" w:space="0" w:color="auto"/>
              <w:bottom w:val="single" w:sz="4" w:space="0" w:color="auto"/>
              <w:right w:val="single" w:sz="4" w:space="0" w:color="auto"/>
            </w:tcBorders>
            <w:noWrap/>
            <w:hideMark/>
          </w:tcPr>
          <w:p w14:paraId="6CFB2D3E"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Brand 2</w:t>
            </w:r>
          </w:p>
        </w:tc>
      </w:tr>
      <w:tr w:rsidR="0053029C" w14:paraId="5DC673CE"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55E0A5FD"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GWP</w:t>
            </w:r>
          </w:p>
        </w:tc>
        <w:tc>
          <w:tcPr>
            <w:tcW w:w="1158" w:type="dxa"/>
            <w:tcBorders>
              <w:top w:val="single" w:sz="4" w:space="0" w:color="auto"/>
              <w:left w:val="single" w:sz="4" w:space="0" w:color="auto"/>
              <w:bottom w:val="single" w:sz="4" w:space="0" w:color="auto"/>
              <w:right w:val="single" w:sz="4" w:space="0" w:color="auto"/>
            </w:tcBorders>
            <w:noWrap/>
            <w:hideMark/>
          </w:tcPr>
          <w:p w14:paraId="264CBDE4"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kg CO</w:t>
            </w:r>
            <w:r>
              <w:rPr>
                <w:rFonts w:ascii="Arial" w:eastAsia="Times New Roman" w:hAnsi="Arial" w:cs="Arial"/>
                <w:color w:val="000000"/>
                <w:sz w:val="18"/>
                <w:szCs w:val="18"/>
                <w:vertAlign w:val="subscript"/>
              </w:rPr>
              <w:t>2</w:t>
            </w:r>
            <w:r>
              <w:rPr>
                <w:rFonts w:ascii="Arial" w:eastAsia="Times New Roman" w:hAnsi="Arial" w:cs="Arial"/>
                <w:color w:val="000000"/>
                <w:sz w:val="18"/>
                <w:szCs w:val="18"/>
              </w:rPr>
              <w:t xml:space="preserve"> eq</w:t>
            </w:r>
          </w:p>
        </w:tc>
        <w:tc>
          <w:tcPr>
            <w:tcW w:w="900" w:type="dxa"/>
            <w:tcBorders>
              <w:top w:val="single" w:sz="4" w:space="0" w:color="auto"/>
              <w:left w:val="single" w:sz="4" w:space="0" w:color="auto"/>
              <w:bottom w:val="single" w:sz="4" w:space="0" w:color="auto"/>
              <w:right w:val="single" w:sz="4" w:space="0" w:color="auto"/>
            </w:tcBorders>
            <w:noWrap/>
            <w:hideMark/>
          </w:tcPr>
          <w:p w14:paraId="691DABA4"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0.33</w:t>
            </w:r>
          </w:p>
        </w:tc>
        <w:tc>
          <w:tcPr>
            <w:tcW w:w="900" w:type="dxa"/>
            <w:tcBorders>
              <w:top w:val="single" w:sz="4" w:space="0" w:color="auto"/>
              <w:left w:val="single" w:sz="4" w:space="0" w:color="auto"/>
              <w:bottom w:val="single" w:sz="4" w:space="0" w:color="auto"/>
              <w:right w:val="single" w:sz="4" w:space="0" w:color="auto"/>
            </w:tcBorders>
            <w:noWrap/>
            <w:hideMark/>
          </w:tcPr>
          <w:p w14:paraId="324EAE49"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0.32</w:t>
            </w:r>
          </w:p>
        </w:tc>
        <w:tc>
          <w:tcPr>
            <w:tcW w:w="900" w:type="dxa"/>
            <w:tcBorders>
              <w:top w:val="single" w:sz="4" w:space="0" w:color="auto"/>
              <w:left w:val="single" w:sz="4" w:space="0" w:color="auto"/>
              <w:bottom w:val="single" w:sz="4" w:space="0" w:color="auto"/>
              <w:right w:val="single" w:sz="4" w:space="0" w:color="auto"/>
            </w:tcBorders>
            <w:noWrap/>
            <w:hideMark/>
          </w:tcPr>
          <w:p w14:paraId="0F80FC17"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0.54</w:t>
            </w:r>
          </w:p>
        </w:tc>
        <w:tc>
          <w:tcPr>
            <w:tcW w:w="900" w:type="dxa"/>
            <w:tcBorders>
              <w:top w:val="single" w:sz="4" w:space="0" w:color="auto"/>
              <w:left w:val="single" w:sz="4" w:space="0" w:color="auto"/>
              <w:bottom w:val="single" w:sz="4" w:space="0" w:color="auto"/>
              <w:right w:val="single" w:sz="4" w:space="0" w:color="auto"/>
            </w:tcBorders>
            <w:noWrap/>
            <w:hideMark/>
          </w:tcPr>
          <w:p w14:paraId="6253C277"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0.33</w:t>
            </w:r>
          </w:p>
        </w:tc>
        <w:tc>
          <w:tcPr>
            <w:tcW w:w="900" w:type="dxa"/>
            <w:tcBorders>
              <w:top w:val="single" w:sz="4" w:space="0" w:color="auto"/>
              <w:left w:val="single" w:sz="4" w:space="0" w:color="auto"/>
              <w:bottom w:val="single" w:sz="4" w:space="0" w:color="auto"/>
              <w:right w:val="single" w:sz="4" w:space="0" w:color="auto"/>
            </w:tcBorders>
            <w:noWrap/>
            <w:hideMark/>
          </w:tcPr>
          <w:p w14:paraId="42582D57"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2.7</w:t>
            </w:r>
          </w:p>
        </w:tc>
        <w:tc>
          <w:tcPr>
            <w:tcW w:w="900" w:type="dxa"/>
            <w:tcBorders>
              <w:top w:val="single" w:sz="4" w:space="0" w:color="auto"/>
              <w:left w:val="single" w:sz="4" w:space="0" w:color="auto"/>
              <w:bottom w:val="single" w:sz="4" w:space="0" w:color="auto"/>
              <w:right w:val="single" w:sz="4" w:space="0" w:color="auto"/>
            </w:tcBorders>
            <w:noWrap/>
            <w:hideMark/>
          </w:tcPr>
          <w:p w14:paraId="4BD041D7"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0.50</w:t>
            </w:r>
          </w:p>
        </w:tc>
        <w:tc>
          <w:tcPr>
            <w:tcW w:w="900" w:type="dxa"/>
            <w:tcBorders>
              <w:top w:val="single" w:sz="4" w:space="0" w:color="auto"/>
              <w:left w:val="single" w:sz="4" w:space="0" w:color="auto"/>
              <w:bottom w:val="single" w:sz="4" w:space="0" w:color="auto"/>
              <w:right w:val="single" w:sz="4" w:space="0" w:color="auto"/>
            </w:tcBorders>
            <w:noWrap/>
            <w:hideMark/>
          </w:tcPr>
          <w:p w14:paraId="0F7AA9C7"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139</w:t>
            </w:r>
          </w:p>
        </w:tc>
        <w:tc>
          <w:tcPr>
            <w:tcW w:w="900" w:type="dxa"/>
            <w:tcBorders>
              <w:top w:val="single" w:sz="4" w:space="0" w:color="auto"/>
              <w:left w:val="single" w:sz="4" w:space="0" w:color="auto"/>
              <w:bottom w:val="single" w:sz="4" w:space="0" w:color="auto"/>
              <w:right w:val="single" w:sz="4" w:space="0" w:color="auto"/>
            </w:tcBorders>
            <w:noWrap/>
            <w:hideMark/>
          </w:tcPr>
          <w:p w14:paraId="6FCFF482"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241</w:t>
            </w:r>
          </w:p>
        </w:tc>
        <w:tc>
          <w:tcPr>
            <w:tcW w:w="900" w:type="dxa"/>
            <w:tcBorders>
              <w:top w:val="single" w:sz="4" w:space="0" w:color="auto"/>
              <w:left w:val="single" w:sz="4" w:space="0" w:color="auto"/>
              <w:bottom w:val="single" w:sz="4" w:space="0" w:color="auto"/>
              <w:right w:val="single" w:sz="4" w:space="0" w:color="auto"/>
            </w:tcBorders>
            <w:noWrap/>
            <w:hideMark/>
          </w:tcPr>
          <w:p w14:paraId="17E4086E"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144</w:t>
            </w:r>
          </w:p>
        </w:tc>
        <w:tc>
          <w:tcPr>
            <w:tcW w:w="900" w:type="dxa"/>
            <w:tcBorders>
              <w:top w:val="single" w:sz="4" w:space="0" w:color="auto"/>
              <w:left w:val="single" w:sz="4" w:space="0" w:color="auto"/>
              <w:bottom w:val="single" w:sz="4" w:space="0" w:color="auto"/>
              <w:right w:val="single" w:sz="4" w:space="0" w:color="auto"/>
            </w:tcBorders>
            <w:noWrap/>
            <w:hideMark/>
          </w:tcPr>
          <w:p w14:paraId="22241857"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246</w:t>
            </w:r>
          </w:p>
        </w:tc>
      </w:tr>
      <w:tr w:rsidR="0053029C" w14:paraId="5DEFCC0E"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21559A80"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Toxicity (cancer)</w:t>
            </w:r>
          </w:p>
        </w:tc>
        <w:tc>
          <w:tcPr>
            <w:tcW w:w="1158" w:type="dxa"/>
            <w:tcBorders>
              <w:top w:val="single" w:sz="4" w:space="0" w:color="auto"/>
              <w:left w:val="single" w:sz="4" w:space="0" w:color="auto"/>
              <w:bottom w:val="single" w:sz="4" w:space="0" w:color="auto"/>
              <w:right w:val="single" w:sz="4" w:space="0" w:color="auto"/>
            </w:tcBorders>
            <w:noWrap/>
            <w:hideMark/>
          </w:tcPr>
          <w:p w14:paraId="6C14F338"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CTU(</w:t>
            </w:r>
            <w:proofErr w:type="spellStart"/>
            <w:proofErr w:type="gramStart"/>
            <w:r>
              <w:rPr>
                <w:rFonts w:ascii="Arial" w:eastAsia="Times New Roman" w:hAnsi="Arial" w:cs="Arial"/>
                <w:color w:val="000000"/>
                <w:sz w:val="18"/>
                <w:szCs w:val="18"/>
              </w:rPr>
              <w:t>h,c</w:t>
            </w:r>
            <w:proofErr w:type="spellEnd"/>
            <w:proofErr w:type="gramEnd"/>
            <w:r>
              <w:rPr>
                <w:rFonts w:ascii="Arial" w:eastAsia="Times New Roman" w:hAnsi="Arial" w:cs="Arial"/>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noWrap/>
            <w:hideMark/>
          </w:tcPr>
          <w:p w14:paraId="7AC3998F"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2.8E-08</w:t>
            </w:r>
          </w:p>
        </w:tc>
        <w:tc>
          <w:tcPr>
            <w:tcW w:w="900" w:type="dxa"/>
            <w:tcBorders>
              <w:top w:val="single" w:sz="4" w:space="0" w:color="auto"/>
              <w:left w:val="single" w:sz="4" w:space="0" w:color="auto"/>
              <w:bottom w:val="single" w:sz="4" w:space="0" w:color="auto"/>
              <w:right w:val="single" w:sz="4" w:space="0" w:color="auto"/>
            </w:tcBorders>
            <w:noWrap/>
            <w:hideMark/>
          </w:tcPr>
          <w:p w14:paraId="3CE70AA5"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3.1E-08</w:t>
            </w:r>
          </w:p>
        </w:tc>
        <w:tc>
          <w:tcPr>
            <w:tcW w:w="900" w:type="dxa"/>
            <w:tcBorders>
              <w:top w:val="single" w:sz="4" w:space="0" w:color="auto"/>
              <w:left w:val="single" w:sz="4" w:space="0" w:color="auto"/>
              <w:bottom w:val="single" w:sz="4" w:space="0" w:color="auto"/>
              <w:right w:val="single" w:sz="4" w:space="0" w:color="auto"/>
            </w:tcBorders>
            <w:noWrap/>
            <w:hideMark/>
          </w:tcPr>
          <w:p w14:paraId="069033FC"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2.9E-08</w:t>
            </w:r>
          </w:p>
        </w:tc>
        <w:tc>
          <w:tcPr>
            <w:tcW w:w="900" w:type="dxa"/>
            <w:tcBorders>
              <w:top w:val="single" w:sz="4" w:space="0" w:color="auto"/>
              <w:left w:val="single" w:sz="4" w:space="0" w:color="auto"/>
              <w:bottom w:val="single" w:sz="4" w:space="0" w:color="auto"/>
              <w:right w:val="single" w:sz="4" w:space="0" w:color="auto"/>
            </w:tcBorders>
            <w:noWrap/>
            <w:hideMark/>
          </w:tcPr>
          <w:p w14:paraId="65270E6E"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3.1E-08</w:t>
            </w:r>
          </w:p>
        </w:tc>
        <w:tc>
          <w:tcPr>
            <w:tcW w:w="900" w:type="dxa"/>
            <w:tcBorders>
              <w:top w:val="single" w:sz="4" w:space="0" w:color="auto"/>
              <w:left w:val="single" w:sz="4" w:space="0" w:color="auto"/>
              <w:bottom w:val="single" w:sz="4" w:space="0" w:color="auto"/>
              <w:right w:val="single" w:sz="4" w:space="0" w:color="auto"/>
            </w:tcBorders>
            <w:noWrap/>
            <w:hideMark/>
          </w:tcPr>
          <w:p w14:paraId="2661818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3.9E-08</w:t>
            </w:r>
          </w:p>
        </w:tc>
        <w:tc>
          <w:tcPr>
            <w:tcW w:w="900" w:type="dxa"/>
            <w:tcBorders>
              <w:top w:val="single" w:sz="4" w:space="0" w:color="auto"/>
              <w:left w:val="single" w:sz="4" w:space="0" w:color="auto"/>
              <w:bottom w:val="single" w:sz="4" w:space="0" w:color="auto"/>
              <w:right w:val="single" w:sz="4" w:space="0" w:color="auto"/>
            </w:tcBorders>
            <w:noWrap/>
            <w:hideMark/>
          </w:tcPr>
          <w:p w14:paraId="05B303A5"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3.6E-08</w:t>
            </w:r>
          </w:p>
        </w:tc>
        <w:tc>
          <w:tcPr>
            <w:tcW w:w="900" w:type="dxa"/>
            <w:tcBorders>
              <w:top w:val="single" w:sz="4" w:space="0" w:color="auto"/>
              <w:left w:val="single" w:sz="4" w:space="0" w:color="auto"/>
              <w:bottom w:val="single" w:sz="4" w:space="0" w:color="auto"/>
              <w:right w:val="single" w:sz="4" w:space="0" w:color="auto"/>
            </w:tcBorders>
            <w:noWrap/>
            <w:hideMark/>
          </w:tcPr>
          <w:p w14:paraId="3F9F7E20"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6.6E-06</w:t>
            </w:r>
          </w:p>
        </w:tc>
        <w:tc>
          <w:tcPr>
            <w:tcW w:w="900" w:type="dxa"/>
            <w:tcBorders>
              <w:top w:val="single" w:sz="4" w:space="0" w:color="auto"/>
              <w:left w:val="single" w:sz="4" w:space="0" w:color="auto"/>
              <w:bottom w:val="single" w:sz="4" w:space="0" w:color="auto"/>
              <w:right w:val="single" w:sz="4" w:space="0" w:color="auto"/>
            </w:tcBorders>
            <w:noWrap/>
            <w:hideMark/>
          </w:tcPr>
          <w:p w14:paraId="64B6596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8.2E-06</w:t>
            </w:r>
          </w:p>
        </w:tc>
        <w:tc>
          <w:tcPr>
            <w:tcW w:w="900" w:type="dxa"/>
            <w:tcBorders>
              <w:top w:val="single" w:sz="4" w:space="0" w:color="auto"/>
              <w:left w:val="single" w:sz="4" w:space="0" w:color="auto"/>
              <w:bottom w:val="single" w:sz="4" w:space="0" w:color="auto"/>
              <w:right w:val="single" w:sz="4" w:space="0" w:color="auto"/>
            </w:tcBorders>
            <w:noWrap/>
            <w:hideMark/>
          </w:tcPr>
          <w:p w14:paraId="4290C512"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6.7E-06</w:t>
            </w:r>
          </w:p>
        </w:tc>
        <w:tc>
          <w:tcPr>
            <w:tcW w:w="900" w:type="dxa"/>
            <w:tcBorders>
              <w:top w:val="single" w:sz="4" w:space="0" w:color="auto"/>
              <w:left w:val="single" w:sz="4" w:space="0" w:color="auto"/>
              <w:bottom w:val="single" w:sz="4" w:space="0" w:color="auto"/>
              <w:right w:val="single" w:sz="4" w:space="0" w:color="auto"/>
            </w:tcBorders>
            <w:noWrap/>
            <w:hideMark/>
          </w:tcPr>
          <w:p w14:paraId="46E518A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8.3E-06</w:t>
            </w:r>
          </w:p>
        </w:tc>
      </w:tr>
      <w:tr w:rsidR="0053029C" w14:paraId="339D9910"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53742BEC"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Toxicity (noncancer)</w:t>
            </w:r>
          </w:p>
        </w:tc>
        <w:tc>
          <w:tcPr>
            <w:tcW w:w="1158" w:type="dxa"/>
            <w:tcBorders>
              <w:top w:val="single" w:sz="4" w:space="0" w:color="auto"/>
              <w:left w:val="single" w:sz="4" w:space="0" w:color="auto"/>
              <w:bottom w:val="single" w:sz="4" w:space="0" w:color="auto"/>
              <w:right w:val="single" w:sz="4" w:space="0" w:color="auto"/>
            </w:tcBorders>
            <w:noWrap/>
            <w:hideMark/>
          </w:tcPr>
          <w:p w14:paraId="2AC5D9B9"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CTU(</w:t>
            </w:r>
            <w:proofErr w:type="spellStart"/>
            <w:proofErr w:type="gramStart"/>
            <w:r>
              <w:rPr>
                <w:rFonts w:ascii="Arial" w:eastAsia="Times New Roman" w:hAnsi="Arial" w:cs="Arial"/>
                <w:color w:val="000000"/>
                <w:sz w:val="18"/>
                <w:szCs w:val="18"/>
              </w:rPr>
              <w:t>h,nc</w:t>
            </w:r>
            <w:proofErr w:type="spellEnd"/>
            <w:proofErr w:type="gramEnd"/>
            <w:r>
              <w:rPr>
                <w:rFonts w:ascii="Arial" w:eastAsia="Times New Roman" w:hAnsi="Arial" w:cs="Arial"/>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noWrap/>
            <w:hideMark/>
          </w:tcPr>
          <w:p w14:paraId="033E51A6"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9.3E-08</w:t>
            </w:r>
          </w:p>
        </w:tc>
        <w:tc>
          <w:tcPr>
            <w:tcW w:w="900" w:type="dxa"/>
            <w:tcBorders>
              <w:top w:val="single" w:sz="4" w:space="0" w:color="auto"/>
              <w:left w:val="single" w:sz="4" w:space="0" w:color="auto"/>
              <w:bottom w:val="single" w:sz="4" w:space="0" w:color="auto"/>
              <w:right w:val="single" w:sz="4" w:space="0" w:color="auto"/>
            </w:tcBorders>
            <w:noWrap/>
            <w:hideMark/>
          </w:tcPr>
          <w:p w14:paraId="08CEECB4"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9.6E-08</w:t>
            </w:r>
          </w:p>
        </w:tc>
        <w:tc>
          <w:tcPr>
            <w:tcW w:w="900" w:type="dxa"/>
            <w:tcBorders>
              <w:top w:val="single" w:sz="4" w:space="0" w:color="auto"/>
              <w:left w:val="single" w:sz="4" w:space="0" w:color="auto"/>
              <w:bottom w:val="single" w:sz="4" w:space="0" w:color="auto"/>
              <w:right w:val="single" w:sz="4" w:space="0" w:color="auto"/>
            </w:tcBorders>
            <w:noWrap/>
            <w:hideMark/>
          </w:tcPr>
          <w:p w14:paraId="055B6CFE"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9.9E-08</w:t>
            </w:r>
          </w:p>
        </w:tc>
        <w:tc>
          <w:tcPr>
            <w:tcW w:w="900" w:type="dxa"/>
            <w:tcBorders>
              <w:top w:val="single" w:sz="4" w:space="0" w:color="auto"/>
              <w:left w:val="single" w:sz="4" w:space="0" w:color="auto"/>
              <w:bottom w:val="single" w:sz="4" w:space="0" w:color="auto"/>
              <w:right w:val="single" w:sz="4" w:space="0" w:color="auto"/>
            </w:tcBorders>
            <w:noWrap/>
            <w:hideMark/>
          </w:tcPr>
          <w:p w14:paraId="1F710E34"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9.7E-08</w:t>
            </w:r>
          </w:p>
        </w:tc>
        <w:tc>
          <w:tcPr>
            <w:tcW w:w="900" w:type="dxa"/>
            <w:tcBorders>
              <w:top w:val="single" w:sz="4" w:space="0" w:color="auto"/>
              <w:left w:val="single" w:sz="4" w:space="0" w:color="auto"/>
              <w:bottom w:val="single" w:sz="4" w:space="0" w:color="auto"/>
              <w:right w:val="single" w:sz="4" w:space="0" w:color="auto"/>
            </w:tcBorders>
            <w:noWrap/>
            <w:hideMark/>
          </w:tcPr>
          <w:p w14:paraId="4F3AA57A"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1.5E-07</w:t>
            </w:r>
          </w:p>
        </w:tc>
        <w:tc>
          <w:tcPr>
            <w:tcW w:w="900" w:type="dxa"/>
            <w:tcBorders>
              <w:top w:val="single" w:sz="4" w:space="0" w:color="auto"/>
              <w:left w:val="single" w:sz="4" w:space="0" w:color="auto"/>
              <w:bottom w:val="single" w:sz="4" w:space="0" w:color="auto"/>
              <w:right w:val="single" w:sz="4" w:space="0" w:color="auto"/>
            </w:tcBorders>
            <w:noWrap/>
            <w:hideMark/>
          </w:tcPr>
          <w:p w14:paraId="17EB224C"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1.1E-07</w:t>
            </w:r>
          </w:p>
        </w:tc>
        <w:tc>
          <w:tcPr>
            <w:tcW w:w="900" w:type="dxa"/>
            <w:tcBorders>
              <w:top w:val="single" w:sz="4" w:space="0" w:color="auto"/>
              <w:left w:val="single" w:sz="4" w:space="0" w:color="auto"/>
              <w:bottom w:val="single" w:sz="4" w:space="0" w:color="auto"/>
              <w:right w:val="single" w:sz="4" w:space="0" w:color="auto"/>
            </w:tcBorders>
            <w:noWrap/>
            <w:hideMark/>
          </w:tcPr>
          <w:p w14:paraId="328F8372"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3.2E-05</w:t>
            </w:r>
          </w:p>
        </w:tc>
        <w:tc>
          <w:tcPr>
            <w:tcW w:w="900" w:type="dxa"/>
            <w:tcBorders>
              <w:top w:val="single" w:sz="4" w:space="0" w:color="auto"/>
              <w:left w:val="single" w:sz="4" w:space="0" w:color="auto"/>
              <w:bottom w:val="single" w:sz="4" w:space="0" w:color="auto"/>
              <w:right w:val="single" w:sz="4" w:space="0" w:color="auto"/>
            </w:tcBorders>
            <w:noWrap/>
            <w:hideMark/>
          </w:tcPr>
          <w:p w14:paraId="46B26AFB"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4.4E-05</w:t>
            </w:r>
          </w:p>
        </w:tc>
        <w:tc>
          <w:tcPr>
            <w:tcW w:w="900" w:type="dxa"/>
            <w:tcBorders>
              <w:top w:val="single" w:sz="4" w:space="0" w:color="auto"/>
              <w:left w:val="single" w:sz="4" w:space="0" w:color="auto"/>
              <w:bottom w:val="single" w:sz="4" w:space="0" w:color="auto"/>
              <w:right w:val="single" w:sz="4" w:space="0" w:color="auto"/>
            </w:tcBorders>
            <w:noWrap/>
            <w:hideMark/>
          </w:tcPr>
          <w:p w14:paraId="45BEEC5C"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3.3E-05</w:t>
            </w:r>
          </w:p>
        </w:tc>
        <w:tc>
          <w:tcPr>
            <w:tcW w:w="900" w:type="dxa"/>
            <w:tcBorders>
              <w:top w:val="single" w:sz="4" w:space="0" w:color="auto"/>
              <w:left w:val="single" w:sz="4" w:space="0" w:color="auto"/>
              <w:bottom w:val="single" w:sz="4" w:space="0" w:color="auto"/>
              <w:right w:val="single" w:sz="4" w:space="0" w:color="auto"/>
            </w:tcBorders>
            <w:noWrap/>
            <w:hideMark/>
          </w:tcPr>
          <w:p w14:paraId="487E62B5"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4.5E-05</w:t>
            </w:r>
          </w:p>
        </w:tc>
      </w:tr>
      <w:tr w:rsidR="0053029C" w14:paraId="0A7452BA"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4005D673"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Ozone depletion</w:t>
            </w:r>
          </w:p>
        </w:tc>
        <w:tc>
          <w:tcPr>
            <w:tcW w:w="1158" w:type="dxa"/>
            <w:tcBorders>
              <w:top w:val="single" w:sz="4" w:space="0" w:color="auto"/>
              <w:left w:val="single" w:sz="4" w:space="0" w:color="auto"/>
              <w:bottom w:val="single" w:sz="4" w:space="0" w:color="auto"/>
              <w:right w:val="single" w:sz="4" w:space="0" w:color="auto"/>
            </w:tcBorders>
            <w:noWrap/>
            <w:hideMark/>
          </w:tcPr>
          <w:p w14:paraId="3B00D93D"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kg CFC-11</w:t>
            </w:r>
          </w:p>
        </w:tc>
        <w:tc>
          <w:tcPr>
            <w:tcW w:w="900" w:type="dxa"/>
            <w:tcBorders>
              <w:top w:val="single" w:sz="4" w:space="0" w:color="auto"/>
              <w:left w:val="single" w:sz="4" w:space="0" w:color="auto"/>
              <w:bottom w:val="single" w:sz="4" w:space="0" w:color="auto"/>
              <w:right w:val="single" w:sz="4" w:space="0" w:color="auto"/>
            </w:tcBorders>
            <w:noWrap/>
            <w:hideMark/>
          </w:tcPr>
          <w:p w14:paraId="2A9ABC5F"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2.7E-08</w:t>
            </w:r>
          </w:p>
        </w:tc>
        <w:tc>
          <w:tcPr>
            <w:tcW w:w="900" w:type="dxa"/>
            <w:tcBorders>
              <w:top w:val="single" w:sz="4" w:space="0" w:color="auto"/>
              <w:left w:val="single" w:sz="4" w:space="0" w:color="auto"/>
              <w:bottom w:val="single" w:sz="4" w:space="0" w:color="auto"/>
              <w:right w:val="single" w:sz="4" w:space="0" w:color="auto"/>
            </w:tcBorders>
            <w:noWrap/>
            <w:hideMark/>
          </w:tcPr>
          <w:p w14:paraId="0D395FBB"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1.7E-07</w:t>
            </w:r>
          </w:p>
        </w:tc>
        <w:tc>
          <w:tcPr>
            <w:tcW w:w="900" w:type="dxa"/>
            <w:tcBorders>
              <w:top w:val="single" w:sz="4" w:space="0" w:color="auto"/>
              <w:left w:val="single" w:sz="4" w:space="0" w:color="auto"/>
              <w:bottom w:val="single" w:sz="4" w:space="0" w:color="auto"/>
              <w:right w:val="single" w:sz="4" w:space="0" w:color="auto"/>
            </w:tcBorders>
            <w:noWrap/>
            <w:hideMark/>
          </w:tcPr>
          <w:p w14:paraId="6D1A4CE4"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2.8E-08</w:t>
            </w:r>
          </w:p>
        </w:tc>
        <w:tc>
          <w:tcPr>
            <w:tcW w:w="900" w:type="dxa"/>
            <w:tcBorders>
              <w:top w:val="single" w:sz="4" w:space="0" w:color="auto"/>
              <w:left w:val="single" w:sz="4" w:space="0" w:color="auto"/>
              <w:bottom w:val="single" w:sz="4" w:space="0" w:color="auto"/>
              <w:right w:val="single" w:sz="4" w:space="0" w:color="auto"/>
            </w:tcBorders>
            <w:noWrap/>
            <w:hideMark/>
          </w:tcPr>
          <w:p w14:paraId="2504BD5E"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1.7E-07</w:t>
            </w:r>
          </w:p>
        </w:tc>
        <w:tc>
          <w:tcPr>
            <w:tcW w:w="900" w:type="dxa"/>
            <w:tcBorders>
              <w:top w:val="single" w:sz="4" w:space="0" w:color="auto"/>
              <w:left w:val="single" w:sz="4" w:space="0" w:color="auto"/>
              <w:bottom w:val="single" w:sz="4" w:space="0" w:color="auto"/>
              <w:right w:val="single" w:sz="4" w:space="0" w:color="auto"/>
            </w:tcBorders>
            <w:noWrap/>
            <w:hideMark/>
          </w:tcPr>
          <w:p w14:paraId="41E18069"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3.6E-08</w:t>
            </w:r>
          </w:p>
        </w:tc>
        <w:tc>
          <w:tcPr>
            <w:tcW w:w="900" w:type="dxa"/>
            <w:tcBorders>
              <w:top w:val="single" w:sz="4" w:space="0" w:color="auto"/>
              <w:left w:val="single" w:sz="4" w:space="0" w:color="auto"/>
              <w:bottom w:val="single" w:sz="4" w:space="0" w:color="auto"/>
              <w:right w:val="single" w:sz="4" w:space="0" w:color="auto"/>
            </w:tcBorders>
            <w:noWrap/>
            <w:hideMark/>
          </w:tcPr>
          <w:p w14:paraId="03081E01"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1.7E-07</w:t>
            </w:r>
          </w:p>
        </w:tc>
        <w:tc>
          <w:tcPr>
            <w:tcW w:w="900" w:type="dxa"/>
            <w:tcBorders>
              <w:top w:val="single" w:sz="4" w:space="0" w:color="auto"/>
              <w:left w:val="single" w:sz="4" w:space="0" w:color="auto"/>
              <w:bottom w:val="single" w:sz="4" w:space="0" w:color="auto"/>
              <w:right w:val="single" w:sz="4" w:space="0" w:color="auto"/>
            </w:tcBorders>
            <w:noWrap/>
            <w:hideMark/>
          </w:tcPr>
          <w:p w14:paraId="6973C861"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7.3E-06</w:t>
            </w:r>
          </w:p>
        </w:tc>
        <w:tc>
          <w:tcPr>
            <w:tcW w:w="900" w:type="dxa"/>
            <w:tcBorders>
              <w:top w:val="single" w:sz="4" w:space="0" w:color="auto"/>
              <w:left w:val="single" w:sz="4" w:space="0" w:color="auto"/>
              <w:bottom w:val="single" w:sz="4" w:space="0" w:color="auto"/>
              <w:right w:val="single" w:sz="4" w:space="0" w:color="auto"/>
            </w:tcBorders>
            <w:noWrap/>
            <w:hideMark/>
          </w:tcPr>
          <w:p w14:paraId="19DB1E0A"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8.0E-06</w:t>
            </w:r>
          </w:p>
        </w:tc>
        <w:tc>
          <w:tcPr>
            <w:tcW w:w="900" w:type="dxa"/>
            <w:tcBorders>
              <w:top w:val="single" w:sz="4" w:space="0" w:color="auto"/>
              <w:left w:val="single" w:sz="4" w:space="0" w:color="auto"/>
              <w:bottom w:val="single" w:sz="4" w:space="0" w:color="auto"/>
              <w:right w:val="single" w:sz="4" w:space="0" w:color="auto"/>
            </w:tcBorders>
            <w:noWrap/>
            <w:hideMark/>
          </w:tcPr>
          <w:p w14:paraId="061C263A"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7.3E-06</w:t>
            </w:r>
          </w:p>
        </w:tc>
        <w:tc>
          <w:tcPr>
            <w:tcW w:w="900" w:type="dxa"/>
            <w:tcBorders>
              <w:top w:val="single" w:sz="4" w:space="0" w:color="auto"/>
              <w:left w:val="single" w:sz="4" w:space="0" w:color="auto"/>
              <w:bottom w:val="single" w:sz="4" w:space="0" w:color="auto"/>
              <w:right w:val="single" w:sz="4" w:space="0" w:color="auto"/>
            </w:tcBorders>
            <w:noWrap/>
            <w:hideMark/>
          </w:tcPr>
          <w:p w14:paraId="00F32237"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8.0E-06</w:t>
            </w:r>
          </w:p>
        </w:tc>
      </w:tr>
      <w:tr w:rsidR="0053029C" w14:paraId="3FF2A429"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2B966CA2"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Smog</w:t>
            </w:r>
          </w:p>
        </w:tc>
        <w:tc>
          <w:tcPr>
            <w:tcW w:w="1158" w:type="dxa"/>
            <w:tcBorders>
              <w:top w:val="single" w:sz="4" w:space="0" w:color="auto"/>
              <w:left w:val="single" w:sz="4" w:space="0" w:color="auto"/>
              <w:bottom w:val="single" w:sz="4" w:space="0" w:color="auto"/>
              <w:right w:val="single" w:sz="4" w:space="0" w:color="auto"/>
            </w:tcBorders>
            <w:noWrap/>
            <w:hideMark/>
          </w:tcPr>
          <w:p w14:paraId="44D257A2"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kg O</w:t>
            </w:r>
            <w:r>
              <w:rPr>
                <w:rFonts w:ascii="Arial" w:eastAsia="Times New Roman" w:hAnsi="Arial" w:cs="Arial"/>
                <w:color w:val="000000"/>
                <w:sz w:val="18"/>
                <w:szCs w:val="18"/>
                <w:vertAlign w:val="subscript"/>
              </w:rPr>
              <w:t>3</w:t>
            </w:r>
            <w:r>
              <w:rPr>
                <w:rFonts w:ascii="Arial" w:eastAsia="Times New Roman" w:hAnsi="Arial" w:cs="Arial"/>
                <w:color w:val="000000"/>
                <w:sz w:val="18"/>
                <w:szCs w:val="18"/>
              </w:rPr>
              <w:t xml:space="preserve"> eq</w:t>
            </w:r>
          </w:p>
        </w:tc>
        <w:tc>
          <w:tcPr>
            <w:tcW w:w="900" w:type="dxa"/>
            <w:tcBorders>
              <w:top w:val="single" w:sz="4" w:space="0" w:color="auto"/>
              <w:left w:val="single" w:sz="4" w:space="0" w:color="auto"/>
              <w:bottom w:val="single" w:sz="4" w:space="0" w:color="auto"/>
              <w:right w:val="single" w:sz="4" w:space="0" w:color="auto"/>
            </w:tcBorders>
            <w:noWrap/>
            <w:hideMark/>
          </w:tcPr>
          <w:p w14:paraId="5478BCB4"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8.2E-03</w:t>
            </w:r>
          </w:p>
        </w:tc>
        <w:tc>
          <w:tcPr>
            <w:tcW w:w="900" w:type="dxa"/>
            <w:tcBorders>
              <w:top w:val="single" w:sz="4" w:space="0" w:color="auto"/>
              <w:left w:val="single" w:sz="4" w:space="0" w:color="auto"/>
              <w:bottom w:val="single" w:sz="4" w:space="0" w:color="auto"/>
              <w:right w:val="single" w:sz="4" w:space="0" w:color="auto"/>
            </w:tcBorders>
            <w:noWrap/>
            <w:hideMark/>
          </w:tcPr>
          <w:p w14:paraId="36EC1544"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8.3E-03</w:t>
            </w:r>
          </w:p>
        </w:tc>
        <w:tc>
          <w:tcPr>
            <w:tcW w:w="900" w:type="dxa"/>
            <w:tcBorders>
              <w:top w:val="single" w:sz="4" w:space="0" w:color="auto"/>
              <w:left w:val="single" w:sz="4" w:space="0" w:color="auto"/>
              <w:bottom w:val="single" w:sz="4" w:space="0" w:color="auto"/>
              <w:right w:val="single" w:sz="4" w:space="0" w:color="auto"/>
            </w:tcBorders>
            <w:noWrap/>
            <w:hideMark/>
          </w:tcPr>
          <w:p w14:paraId="19F89D4F"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0.011</w:t>
            </w:r>
          </w:p>
        </w:tc>
        <w:tc>
          <w:tcPr>
            <w:tcW w:w="900" w:type="dxa"/>
            <w:tcBorders>
              <w:top w:val="single" w:sz="4" w:space="0" w:color="auto"/>
              <w:left w:val="single" w:sz="4" w:space="0" w:color="auto"/>
              <w:bottom w:val="single" w:sz="4" w:space="0" w:color="auto"/>
              <w:right w:val="single" w:sz="4" w:space="0" w:color="auto"/>
            </w:tcBorders>
            <w:noWrap/>
            <w:hideMark/>
          </w:tcPr>
          <w:p w14:paraId="71B79DBD"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8.6E-03</w:t>
            </w:r>
          </w:p>
        </w:tc>
        <w:tc>
          <w:tcPr>
            <w:tcW w:w="900" w:type="dxa"/>
            <w:tcBorders>
              <w:top w:val="single" w:sz="4" w:space="0" w:color="auto"/>
              <w:left w:val="single" w:sz="4" w:space="0" w:color="auto"/>
              <w:bottom w:val="single" w:sz="4" w:space="0" w:color="auto"/>
              <w:right w:val="single" w:sz="4" w:space="0" w:color="auto"/>
            </w:tcBorders>
            <w:noWrap/>
            <w:hideMark/>
          </w:tcPr>
          <w:p w14:paraId="2C2B44C9"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0.035</w:t>
            </w:r>
          </w:p>
        </w:tc>
        <w:tc>
          <w:tcPr>
            <w:tcW w:w="900" w:type="dxa"/>
            <w:tcBorders>
              <w:top w:val="single" w:sz="4" w:space="0" w:color="auto"/>
              <w:left w:val="single" w:sz="4" w:space="0" w:color="auto"/>
              <w:bottom w:val="single" w:sz="4" w:space="0" w:color="auto"/>
              <w:right w:val="single" w:sz="4" w:space="0" w:color="auto"/>
            </w:tcBorders>
            <w:noWrap/>
            <w:hideMark/>
          </w:tcPr>
          <w:p w14:paraId="12FAA6DE"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0.011</w:t>
            </w:r>
          </w:p>
        </w:tc>
        <w:tc>
          <w:tcPr>
            <w:tcW w:w="900" w:type="dxa"/>
            <w:tcBorders>
              <w:top w:val="single" w:sz="4" w:space="0" w:color="auto"/>
              <w:left w:val="single" w:sz="4" w:space="0" w:color="auto"/>
              <w:bottom w:val="single" w:sz="4" w:space="0" w:color="auto"/>
              <w:right w:val="single" w:sz="4" w:space="0" w:color="auto"/>
            </w:tcBorders>
            <w:noWrap/>
            <w:hideMark/>
          </w:tcPr>
          <w:p w14:paraId="34E04FF1"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9.7</w:t>
            </w:r>
          </w:p>
        </w:tc>
        <w:tc>
          <w:tcPr>
            <w:tcW w:w="900" w:type="dxa"/>
            <w:tcBorders>
              <w:top w:val="single" w:sz="4" w:space="0" w:color="auto"/>
              <w:left w:val="single" w:sz="4" w:space="0" w:color="auto"/>
              <w:bottom w:val="single" w:sz="4" w:space="0" w:color="auto"/>
              <w:right w:val="single" w:sz="4" w:space="0" w:color="auto"/>
            </w:tcBorders>
            <w:noWrap/>
            <w:hideMark/>
          </w:tcPr>
          <w:p w14:paraId="1C679A5C"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20</w:t>
            </w:r>
          </w:p>
        </w:tc>
        <w:tc>
          <w:tcPr>
            <w:tcW w:w="900" w:type="dxa"/>
            <w:tcBorders>
              <w:top w:val="single" w:sz="4" w:space="0" w:color="auto"/>
              <w:left w:val="single" w:sz="4" w:space="0" w:color="auto"/>
              <w:bottom w:val="single" w:sz="4" w:space="0" w:color="auto"/>
              <w:right w:val="single" w:sz="4" w:space="0" w:color="auto"/>
            </w:tcBorders>
            <w:noWrap/>
            <w:hideMark/>
          </w:tcPr>
          <w:p w14:paraId="4D996BAD"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noWrap/>
            <w:hideMark/>
          </w:tcPr>
          <w:p w14:paraId="11C4A4CA"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21</w:t>
            </w:r>
          </w:p>
        </w:tc>
      </w:tr>
      <w:tr w:rsidR="0053029C" w14:paraId="295E5FA9"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5A909D5F"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Acidification</w:t>
            </w:r>
          </w:p>
        </w:tc>
        <w:tc>
          <w:tcPr>
            <w:tcW w:w="1158" w:type="dxa"/>
            <w:tcBorders>
              <w:top w:val="single" w:sz="4" w:space="0" w:color="auto"/>
              <w:left w:val="single" w:sz="4" w:space="0" w:color="auto"/>
              <w:bottom w:val="single" w:sz="4" w:space="0" w:color="auto"/>
              <w:right w:val="single" w:sz="4" w:space="0" w:color="auto"/>
            </w:tcBorders>
            <w:noWrap/>
            <w:hideMark/>
          </w:tcPr>
          <w:p w14:paraId="78F2359A"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kg SO</w:t>
            </w:r>
            <w:r>
              <w:rPr>
                <w:rFonts w:ascii="Arial" w:eastAsia="Times New Roman" w:hAnsi="Arial" w:cs="Arial"/>
                <w:color w:val="000000"/>
                <w:sz w:val="18"/>
                <w:szCs w:val="18"/>
                <w:vertAlign w:val="subscript"/>
              </w:rPr>
              <w:t>2</w:t>
            </w:r>
            <w:r>
              <w:rPr>
                <w:rFonts w:ascii="Arial" w:eastAsia="Times New Roman" w:hAnsi="Arial" w:cs="Arial"/>
                <w:color w:val="000000"/>
                <w:sz w:val="18"/>
                <w:szCs w:val="18"/>
              </w:rPr>
              <w:t xml:space="preserve"> eq</w:t>
            </w:r>
          </w:p>
        </w:tc>
        <w:tc>
          <w:tcPr>
            <w:tcW w:w="900" w:type="dxa"/>
            <w:tcBorders>
              <w:top w:val="single" w:sz="4" w:space="0" w:color="auto"/>
              <w:left w:val="single" w:sz="4" w:space="0" w:color="auto"/>
              <w:bottom w:val="single" w:sz="4" w:space="0" w:color="auto"/>
              <w:right w:val="single" w:sz="4" w:space="0" w:color="auto"/>
            </w:tcBorders>
            <w:noWrap/>
            <w:hideMark/>
          </w:tcPr>
          <w:p w14:paraId="7EFF4AF4"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1.2E-03</w:t>
            </w:r>
          </w:p>
        </w:tc>
        <w:tc>
          <w:tcPr>
            <w:tcW w:w="900" w:type="dxa"/>
            <w:tcBorders>
              <w:top w:val="single" w:sz="4" w:space="0" w:color="auto"/>
              <w:left w:val="single" w:sz="4" w:space="0" w:color="auto"/>
              <w:bottom w:val="single" w:sz="4" w:space="0" w:color="auto"/>
              <w:right w:val="single" w:sz="4" w:space="0" w:color="auto"/>
            </w:tcBorders>
            <w:noWrap/>
            <w:hideMark/>
          </w:tcPr>
          <w:p w14:paraId="22EB7624"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1.2E-03</w:t>
            </w:r>
          </w:p>
        </w:tc>
        <w:tc>
          <w:tcPr>
            <w:tcW w:w="900" w:type="dxa"/>
            <w:tcBorders>
              <w:top w:val="single" w:sz="4" w:space="0" w:color="auto"/>
              <w:left w:val="single" w:sz="4" w:space="0" w:color="auto"/>
              <w:bottom w:val="single" w:sz="4" w:space="0" w:color="auto"/>
              <w:right w:val="single" w:sz="4" w:space="0" w:color="auto"/>
            </w:tcBorders>
            <w:noWrap/>
            <w:hideMark/>
          </w:tcPr>
          <w:p w14:paraId="3E201487"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1.7E-03</w:t>
            </w:r>
          </w:p>
        </w:tc>
        <w:tc>
          <w:tcPr>
            <w:tcW w:w="900" w:type="dxa"/>
            <w:tcBorders>
              <w:top w:val="single" w:sz="4" w:space="0" w:color="auto"/>
              <w:left w:val="single" w:sz="4" w:space="0" w:color="auto"/>
              <w:bottom w:val="single" w:sz="4" w:space="0" w:color="auto"/>
              <w:right w:val="single" w:sz="4" w:space="0" w:color="auto"/>
            </w:tcBorders>
            <w:noWrap/>
            <w:hideMark/>
          </w:tcPr>
          <w:p w14:paraId="6FC04386"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1.3E-03</w:t>
            </w:r>
          </w:p>
        </w:tc>
        <w:tc>
          <w:tcPr>
            <w:tcW w:w="900" w:type="dxa"/>
            <w:tcBorders>
              <w:top w:val="single" w:sz="4" w:space="0" w:color="auto"/>
              <w:left w:val="single" w:sz="4" w:space="0" w:color="auto"/>
              <w:bottom w:val="single" w:sz="4" w:space="0" w:color="auto"/>
              <w:right w:val="single" w:sz="4" w:space="0" w:color="auto"/>
            </w:tcBorders>
            <w:noWrap/>
            <w:hideMark/>
          </w:tcPr>
          <w:p w14:paraId="3DEB6CA2"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5.7E-03</w:t>
            </w:r>
          </w:p>
        </w:tc>
        <w:tc>
          <w:tcPr>
            <w:tcW w:w="900" w:type="dxa"/>
            <w:tcBorders>
              <w:top w:val="single" w:sz="4" w:space="0" w:color="auto"/>
              <w:left w:val="single" w:sz="4" w:space="0" w:color="auto"/>
              <w:bottom w:val="single" w:sz="4" w:space="0" w:color="auto"/>
              <w:right w:val="single" w:sz="4" w:space="0" w:color="auto"/>
            </w:tcBorders>
            <w:noWrap/>
            <w:hideMark/>
          </w:tcPr>
          <w:p w14:paraId="0BB34D8F"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2.0E-03</w:t>
            </w:r>
          </w:p>
        </w:tc>
        <w:tc>
          <w:tcPr>
            <w:tcW w:w="900" w:type="dxa"/>
            <w:tcBorders>
              <w:top w:val="single" w:sz="4" w:space="0" w:color="auto"/>
              <w:left w:val="single" w:sz="4" w:space="0" w:color="auto"/>
              <w:bottom w:val="single" w:sz="4" w:space="0" w:color="auto"/>
              <w:right w:val="single" w:sz="4" w:space="0" w:color="auto"/>
            </w:tcBorders>
            <w:noWrap/>
            <w:hideMark/>
          </w:tcPr>
          <w:p w14:paraId="78B31E1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0.72</w:t>
            </w:r>
          </w:p>
        </w:tc>
        <w:tc>
          <w:tcPr>
            <w:tcW w:w="900" w:type="dxa"/>
            <w:tcBorders>
              <w:top w:val="single" w:sz="4" w:space="0" w:color="auto"/>
              <w:left w:val="single" w:sz="4" w:space="0" w:color="auto"/>
              <w:bottom w:val="single" w:sz="4" w:space="0" w:color="auto"/>
              <w:right w:val="single" w:sz="4" w:space="0" w:color="auto"/>
            </w:tcBorders>
            <w:noWrap/>
            <w:hideMark/>
          </w:tcPr>
          <w:p w14:paraId="0A9672F0"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noWrap/>
            <w:hideMark/>
          </w:tcPr>
          <w:p w14:paraId="48C40A2C"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0.74</w:t>
            </w:r>
          </w:p>
        </w:tc>
        <w:tc>
          <w:tcPr>
            <w:tcW w:w="900" w:type="dxa"/>
            <w:tcBorders>
              <w:top w:val="single" w:sz="4" w:space="0" w:color="auto"/>
              <w:left w:val="single" w:sz="4" w:space="0" w:color="auto"/>
              <w:bottom w:val="single" w:sz="4" w:space="0" w:color="auto"/>
              <w:right w:val="single" w:sz="4" w:space="0" w:color="auto"/>
            </w:tcBorders>
            <w:noWrap/>
            <w:hideMark/>
          </w:tcPr>
          <w:p w14:paraId="23C7218A"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1.4</w:t>
            </w:r>
          </w:p>
        </w:tc>
      </w:tr>
      <w:tr w:rsidR="0053029C" w14:paraId="0CA31D24"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24889689"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Eutrophication</w:t>
            </w:r>
          </w:p>
        </w:tc>
        <w:tc>
          <w:tcPr>
            <w:tcW w:w="1158" w:type="dxa"/>
            <w:tcBorders>
              <w:top w:val="single" w:sz="4" w:space="0" w:color="auto"/>
              <w:left w:val="single" w:sz="4" w:space="0" w:color="auto"/>
              <w:bottom w:val="single" w:sz="4" w:space="0" w:color="auto"/>
              <w:right w:val="single" w:sz="4" w:space="0" w:color="auto"/>
            </w:tcBorders>
            <w:noWrap/>
            <w:hideMark/>
          </w:tcPr>
          <w:p w14:paraId="2703CBD4"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kg N eq</w:t>
            </w:r>
          </w:p>
        </w:tc>
        <w:tc>
          <w:tcPr>
            <w:tcW w:w="900" w:type="dxa"/>
            <w:tcBorders>
              <w:top w:val="single" w:sz="4" w:space="0" w:color="auto"/>
              <w:left w:val="single" w:sz="4" w:space="0" w:color="auto"/>
              <w:bottom w:val="single" w:sz="4" w:space="0" w:color="auto"/>
              <w:right w:val="single" w:sz="4" w:space="0" w:color="auto"/>
            </w:tcBorders>
            <w:noWrap/>
            <w:hideMark/>
          </w:tcPr>
          <w:p w14:paraId="57AF577C"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2.8E-03</w:t>
            </w:r>
          </w:p>
        </w:tc>
        <w:tc>
          <w:tcPr>
            <w:tcW w:w="900" w:type="dxa"/>
            <w:tcBorders>
              <w:top w:val="single" w:sz="4" w:space="0" w:color="auto"/>
              <w:left w:val="single" w:sz="4" w:space="0" w:color="auto"/>
              <w:bottom w:val="single" w:sz="4" w:space="0" w:color="auto"/>
              <w:right w:val="single" w:sz="4" w:space="0" w:color="auto"/>
            </w:tcBorders>
            <w:noWrap/>
            <w:hideMark/>
          </w:tcPr>
          <w:p w14:paraId="7CBC173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2.8E-03</w:t>
            </w:r>
          </w:p>
        </w:tc>
        <w:tc>
          <w:tcPr>
            <w:tcW w:w="900" w:type="dxa"/>
            <w:tcBorders>
              <w:top w:val="single" w:sz="4" w:space="0" w:color="auto"/>
              <w:left w:val="single" w:sz="4" w:space="0" w:color="auto"/>
              <w:bottom w:val="single" w:sz="4" w:space="0" w:color="auto"/>
              <w:right w:val="single" w:sz="4" w:space="0" w:color="auto"/>
            </w:tcBorders>
            <w:noWrap/>
            <w:hideMark/>
          </w:tcPr>
          <w:p w14:paraId="56D3C41E"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2.8E-03</w:t>
            </w:r>
          </w:p>
        </w:tc>
        <w:tc>
          <w:tcPr>
            <w:tcW w:w="900" w:type="dxa"/>
            <w:tcBorders>
              <w:top w:val="single" w:sz="4" w:space="0" w:color="auto"/>
              <w:left w:val="single" w:sz="4" w:space="0" w:color="auto"/>
              <w:bottom w:val="single" w:sz="4" w:space="0" w:color="auto"/>
              <w:right w:val="single" w:sz="4" w:space="0" w:color="auto"/>
            </w:tcBorders>
            <w:noWrap/>
            <w:hideMark/>
          </w:tcPr>
          <w:p w14:paraId="151787A5"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2.8E-03</w:t>
            </w:r>
          </w:p>
        </w:tc>
        <w:tc>
          <w:tcPr>
            <w:tcW w:w="900" w:type="dxa"/>
            <w:tcBorders>
              <w:top w:val="single" w:sz="4" w:space="0" w:color="auto"/>
              <w:left w:val="single" w:sz="4" w:space="0" w:color="auto"/>
              <w:bottom w:val="single" w:sz="4" w:space="0" w:color="auto"/>
              <w:right w:val="single" w:sz="4" w:space="0" w:color="auto"/>
            </w:tcBorders>
            <w:noWrap/>
            <w:hideMark/>
          </w:tcPr>
          <w:p w14:paraId="42BB8920"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3.7E-03</w:t>
            </w:r>
          </w:p>
        </w:tc>
        <w:tc>
          <w:tcPr>
            <w:tcW w:w="900" w:type="dxa"/>
            <w:tcBorders>
              <w:top w:val="single" w:sz="4" w:space="0" w:color="auto"/>
              <w:left w:val="single" w:sz="4" w:space="0" w:color="auto"/>
              <w:bottom w:val="single" w:sz="4" w:space="0" w:color="auto"/>
              <w:right w:val="single" w:sz="4" w:space="0" w:color="auto"/>
            </w:tcBorders>
            <w:noWrap/>
            <w:hideMark/>
          </w:tcPr>
          <w:p w14:paraId="2F8875B4"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3.0E-03</w:t>
            </w:r>
          </w:p>
        </w:tc>
        <w:tc>
          <w:tcPr>
            <w:tcW w:w="900" w:type="dxa"/>
            <w:tcBorders>
              <w:top w:val="single" w:sz="4" w:space="0" w:color="auto"/>
              <w:left w:val="single" w:sz="4" w:space="0" w:color="auto"/>
              <w:bottom w:val="single" w:sz="4" w:space="0" w:color="auto"/>
              <w:right w:val="single" w:sz="4" w:space="0" w:color="auto"/>
            </w:tcBorders>
            <w:noWrap/>
            <w:hideMark/>
          </w:tcPr>
          <w:p w14:paraId="21185581"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0.38</w:t>
            </w:r>
          </w:p>
        </w:tc>
        <w:tc>
          <w:tcPr>
            <w:tcW w:w="900" w:type="dxa"/>
            <w:tcBorders>
              <w:top w:val="single" w:sz="4" w:space="0" w:color="auto"/>
              <w:left w:val="single" w:sz="4" w:space="0" w:color="auto"/>
              <w:bottom w:val="single" w:sz="4" w:space="0" w:color="auto"/>
              <w:right w:val="single" w:sz="4" w:space="0" w:color="auto"/>
            </w:tcBorders>
            <w:noWrap/>
            <w:hideMark/>
          </w:tcPr>
          <w:p w14:paraId="3D950AE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0.38</w:t>
            </w:r>
          </w:p>
        </w:tc>
        <w:tc>
          <w:tcPr>
            <w:tcW w:w="900" w:type="dxa"/>
            <w:tcBorders>
              <w:top w:val="single" w:sz="4" w:space="0" w:color="auto"/>
              <w:left w:val="single" w:sz="4" w:space="0" w:color="auto"/>
              <w:bottom w:val="single" w:sz="4" w:space="0" w:color="auto"/>
              <w:right w:val="single" w:sz="4" w:space="0" w:color="auto"/>
            </w:tcBorders>
            <w:noWrap/>
            <w:hideMark/>
          </w:tcPr>
          <w:p w14:paraId="19D0465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0.38</w:t>
            </w:r>
          </w:p>
        </w:tc>
        <w:tc>
          <w:tcPr>
            <w:tcW w:w="900" w:type="dxa"/>
            <w:tcBorders>
              <w:top w:val="single" w:sz="4" w:space="0" w:color="auto"/>
              <w:left w:val="single" w:sz="4" w:space="0" w:color="auto"/>
              <w:bottom w:val="single" w:sz="4" w:space="0" w:color="auto"/>
              <w:right w:val="single" w:sz="4" w:space="0" w:color="auto"/>
            </w:tcBorders>
            <w:noWrap/>
            <w:hideMark/>
          </w:tcPr>
          <w:p w14:paraId="66274C33"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0.38</w:t>
            </w:r>
          </w:p>
        </w:tc>
      </w:tr>
      <w:tr w:rsidR="0053029C" w14:paraId="5C93689E"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68A1B508"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Respiratory effects</w:t>
            </w:r>
          </w:p>
        </w:tc>
        <w:tc>
          <w:tcPr>
            <w:tcW w:w="1158" w:type="dxa"/>
            <w:tcBorders>
              <w:top w:val="single" w:sz="4" w:space="0" w:color="auto"/>
              <w:left w:val="single" w:sz="4" w:space="0" w:color="auto"/>
              <w:bottom w:val="single" w:sz="4" w:space="0" w:color="auto"/>
              <w:right w:val="single" w:sz="4" w:space="0" w:color="auto"/>
            </w:tcBorders>
            <w:noWrap/>
            <w:hideMark/>
          </w:tcPr>
          <w:p w14:paraId="1EAAF4A3"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kg PM</w:t>
            </w:r>
            <w:r>
              <w:rPr>
                <w:rFonts w:ascii="Arial" w:eastAsia="Times New Roman" w:hAnsi="Arial" w:cs="Arial"/>
                <w:color w:val="000000"/>
                <w:sz w:val="18"/>
                <w:szCs w:val="18"/>
                <w:vertAlign w:val="subscript"/>
              </w:rPr>
              <w:t>2.5</w:t>
            </w:r>
            <w:r>
              <w:rPr>
                <w:rFonts w:ascii="Arial" w:eastAsia="Times New Roman" w:hAnsi="Arial" w:cs="Arial"/>
                <w:color w:val="000000"/>
                <w:sz w:val="18"/>
                <w:szCs w:val="18"/>
              </w:rPr>
              <w:t xml:space="preserve"> eq</w:t>
            </w:r>
          </w:p>
        </w:tc>
        <w:tc>
          <w:tcPr>
            <w:tcW w:w="900" w:type="dxa"/>
            <w:tcBorders>
              <w:top w:val="single" w:sz="4" w:space="0" w:color="auto"/>
              <w:left w:val="single" w:sz="4" w:space="0" w:color="auto"/>
              <w:bottom w:val="single" w:sz="4" w:space="0" w:color="auto"/>
              <w:right w:val="single" w:sz="4" w:space="0" w:color="auto"/>
            </w:tcBorders>
            <w:noWrap/>
            <w:hideMark/>
          </w:tcPr>
          <w:p w14:paraId="1F77C6F1"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1.1E-03</w:t>
            </w:r>
          </w:p>
        </w:tc>
        <w:tc>
          <w:tcPr>
            <w:tcW w:w="900" w:type="dxa"/>
            <w:tcBorders>
              <w:top w:val="single" w:sz="4" w:space="0" w:color="auto"/>
              <w:left w:val="single" w:sz="4" w:space="0" w:color="auto"/>
              <w:bottom w:val="single" w:sz="4" w:space="0" w:color="auto"/>
              <w:right w:val="single" w:sz="4" w:space="0" w:color="auto"/>
            </w:tcBorders>
            <w:noWrap/>
            <w:hideMark/>
          </w:tcPr>
          <w:p w14:paraId="5117C81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1.1E-03</w:t>
            </w:r>
          </w:p>
        </w:tc>
        <w:tc>
          <w:tcPr>
            <w:tcW w:w="900" w:type="dxa"/>
            <w:tcBorders>
              <w:top w:val="single" w:sz="4" w:space="0" w:color="auto"/>
              <w:left w:val="single" w:sz="4" w:space="0" w:color="auto"/>
              <w:bottom w:val="single" w:sz="4" w:space="0" w:color="auto"/>
              <w:right w:val="single" w:sz="4" w:space="0" w:color="auto"/>
            </w:tcBorders>
            <w:noWrap/>
            <w:hideMark/>
          </w:tcPr>
          <w:p w14:paraId="18641192"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1.2E-03</w:t>
            </w:r>
          </w:p>
        </w:tc>
        <w:tc>
          <w:tcPr>
            <w:tcW w:w="900" w:type="dxa"/>
            <w:tcBorders>
              <w:top w:val="single" w:sz="4" w:space="0" w:color="auto"/>
              <w:left w:val="single" w:sz="4" w:space="0" w:color="auto"/>
              <w:bottom w:val="single" w:sz="4" w:space="0" w:color="auto"/>
              <w:right w:val="single" w:sz="4" w:space="0" w:color="auto"/>
            </w:tcBorders>
            <w:noWrap/>
            <w:hideMark/>
          </w:tcPr>
          <w:p w14:paraId="5202C124"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1.1E-03</w:t>
            </w:r>
          </w:p>
        </w:tc>
        <w:tc>
          <w:tcPr>
            <w:tcW w:w="900" w:type="dxa"/>
            <w:tcBorders>
              <w:top w:val="single" w:sz="4" w:space="0" w:color="auto"/>
              <w:left w:val="single" w:sz="4" w:space="0" w:color="auto"/>
              <w:bottom w:val="single" w:sz="4" w:space="0" w:color="auto"/>
              <w:right w:val="single" w:sz="4" w:space="0" w:color="auto"/>
            </w:tcBorders>
            <w:noWrap/>
            <w:hideMark/>
          </w:tcPr>
          <w:p w14:paraId="4EB85745"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1.7E-03</w:t>
            </w:r>
          </w:p>
        </w:tc>
        <w:tc>
          <w:tcPr>
            <w:tcW w:w="900" w:type="dxa"/>
            <w:tcBorders>
              <w:top w:val="single" w:sz="4" w:space="0" w:color="auto"/>
              <w:left w:val="single" w:sz="4" w:space="0" w:color="auto"/>
              <w:bottom w:val="single" w:sz="4" w:space="0" w:color="auto"/>
              <w:right w:val="single" w:sz="4" w:space="0" w:color="auto"/>
            </w:tcBorders>
            <w:noWrap/>
            <w:hideMark/>
          </w:tcPr>
          <w:p w14:paraId="10F8E010"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1.4E-05</w:t>
            </w:r>
          </w:p>
        </w:tc>
        <w:tc>
          <w:tcPr>
            <w:tcW w:w="900" w:type="dxa"/>
            <w:tcBorders>
              <w:top w:val="single" w:sz="4" w:space="0" w:color="auto"/>
              <w:left w:val="single" w:sz="4" w:space="0" w:color="auto"/>
              <w:bottom w:val="single" w:sz="4" w:space="0" w:color="auto"/>
              <w:right w:val="single" w:sz="4" w:space="0" w:color="auto"/>
            </w:tcBorders>
            <w:noWrap/>
            <w:hideMark/>
          </w:tcPr>
          <w:p w14:paraId="36B8922A"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0.14</w:t>
            </w:r>
          </w:p>
        </w:tc>
        <w:tc>
          <w:tcPr>
            <w:tcW w:w="900" w:type="dxa"/>
            <w:tcBorders>
              <w:top w:val="single" w:sz="4" w:space="0" w:color="auto"/>
              <w:left w:val="single" w:sz="4" w:space="0" w:color="auto"/>
              <w:bottom w:val="single" w:sz="4" w:space="0" w:color="auto"/>
              <w:right w:val="single" w:sz="4" w:space="0" w:color="auto"/>
            </w:tcBorders>
            <w:noWrap/>
            <w:hideMark/>
          </w:tcPr>
          <w:p w14:paraId="61CC329E"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0.16</w:t>
            </w:r>
          </w:p>
        </w:tc>
        <w:tc>
          <w:tcPr>
            <w:tcW w:w="900" w:type="dxa"/>
            <w:tcBorders>
              <w:top w:val="single" w:sz="4" w:space="0" w:color="auto"/>
              <w:left w:val="single" w:sz="4" w:space="0" w:color="auto"/>
              <w:bottom w:val="single" w:sz="4" w:space="0" w:color="auto"/>
              <w:right w:val="single" w:sz="4" w:space="0" w:color="auto"/>
            </w:tcBorders>
            <w:noWrap/>
            <w:hideMark/>
          </w:tcPr>
          <w:p w14:paraId="71BEBDAC"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0.14</w:t>
            </w:r>
          </w:p>
        </w:tc>
        <w:tc>
          <w:tcPr>
            <w:tcW w:w="900" w:type="dxa"/>
            <w:tcBorders>
              <w:top w:val="single" w:sz="4" w:space="0" w:color="auto"/>
              <w:left w:val="single" w:sz="4" w:space="0" w:color="auto"/>
              <w:bottom w:val="single" w:sz="4" w:space="0" w:color="auto"/>
              <w:right w:val="single" w:sz="4" w:space="0" w:color="auto"/>
            </w:tcBorders>
            <w:noWrap/>
            <w:hideMark/>
          </w:tcPr>
          <w:p w14:paraId="3D7F6D5D"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0.16</w:t>
            </w:r>
          </w:p>
        </w:tc>
      </w:tr>
      <w:tr w:rsidR="0053029C" w14:paraId="49824485"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1E215B74"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Ecotoxicity</w:t>
            </w:r>
          </w:p>
        </w:tc>
        <w:tc>
          <w:tcPr>
            <w:tcW w:w="1158" w:type="dxa"/>
            <w:tcBorders>
              <w:top w:val="single" w:sz="4" w:space="0" w:color="auto"/>
              <w:left w:val="single" w:sz="4" w:space="0" w:color="auto"/>
              <w:bottom w:val="single" w:sz="4" w:space="0" w:color="auto"/>
              <w:right w:val="single" w:sz="4" w:space="0" w:color="auto"/>
            </w:tcBorders>
            <w:noWrap/>
            <w:hideMark/>
          </w:tcPr>
          <w:p w14:paraId="00BE33C2" w14:textId="77777777" w:rsidR="0053029C" w:rsidRDefault="0053029C">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CTUe</w:t>
            </w:r>
            <w:proofErr w:type="spellEnd"/>
          </w:p>
        </w:tc>
        <w:tc>
          <w:tcPr>
            <w:tcW w:w="900" w:type="dxa"/>
            <w:tcBorders>
              <w:top w:val="single" w:sz="4" w:space="0" w:color="auto"/>
              <w:left w:val="single" w:sz="4" w:space="0" w:color="auto"/>
              <w:bottom w:val="single" w:sz="4" w:space="0" w:color="auto"/>
              <w:right w:val="single" w:sz="4" w:space="0" w:color="auto"/>
            </w:tcBorders>
            <w:noWrap/>
            <w:hideMark/>
          </w:tcPr>
          <w:p w14:paraId="1BD438F3"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3.0</w:t>
            </w:r>
          </w:p>
        </w:tc>
        <w:tc>
          <w:tcPr>
            <w:tcW w:w="900" w:type="dxa"/>
            <w:tcBorders>
              <w:top w:val="single" w:sz="4" w:space="0" w:color="auto"/>
              <w:left w:val="single" w:sz="4" w:space="0" w:color="auto"/>
              <w:bottom w:val="single" w:sz="4" w:space="0" w:color="auto"/>
              <w:right w:val="single" w:sz="4" w:space="0" w:color="auto"/>
            </w:tcBorders>
            <w:noWrap/>
            <w:hideMark/>
          </w:tcPr>
          <w:p w14:paraId="379980D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3.1</w:t>
            </w:r>
          </w:p>
        </w:tc>
        <w:tc>
          <w:tcPr>
            <w:tcW w:w="900" w:type="dxa"/>
            <w:tcBorders>
              <w:top w:val="single" w:sz="4" w:space="0" w:color="auto"/>
              <w:left w:val="single" w:sz="4" w:space="0" w:color="auto"/>
              <w:bottom w:val="single" w:sz="4" w:space="0" w:color="auto"/>
              <w:right w:val="single" w:sz="4" w:space="0" w:color="auto"/>
            </w:tcBorders>
            <w:noWrap/>
            <w:hideMark/>
          </w:tcPr>
          <w:p w14:paraId="16F0B726"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4.6</w:t>
            </w:r>
          </w:p>
        </w:tc>
        <w:tc>
          <w:tcPr>
            <w:tcW w:w="900" w:type="dxa"/>
            <w:tcBorders>
              <w:top w:val="single" w:sz="4" w:space="0" w:color="auto"/>
              <w:left w:val="single" w:sz="4" w:space="0" w:color="auto"/>
              <w:bottom w:val="single" w:sz="4" w:space="0" w:color="auto"/>
              <w:right w:val="single" w:sz="4" w:space="0" w:color="auto"/>
            </w:tcBorders>
            <w:noWrap/>
            <w:hideMark/>
          </w:tcPr>
          <w:p w14:paraId="2BAEF257"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3.1</w:t>
            </w:r>
          </w:p>
        </w:tc>
        <w:tc>
          <w:tcPr>
            <w:tcW w:w="900" w:type="dxa"/>
            <w:tcBorders>
              <w:top w:val="single" w:sz="4" w:space="0" w:color="auto"/>
              <w:left w:val="single" w:sz="4" w:space="0" w:color="auto"/>
              <w:bottom w:val="single" w:sz="4" w:space="0" w:color="auto"/>
              <w:right w:val="single" w:sz="4" w:space="0" w:color="auto"/>
            </w:tcBorders>
            <w:noWrap/>
            <w:hideMark/>
          </w:tcPr>
          <w:p w14:paraId="7193BCA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4.6</w:t>
            </w:r>
          </w:p>
        </w:tc>
        <w:tc>
          <w:tcPr>
            <w:tcW w:w="900" w:type="dxa"/>
            <w:tcBorders>
              <w:top w:val="single" w:sz="4" w:space="0" w:color="auto"/>
              <w:left w:val="single" w:sz="4" w:space="0" w:color="auto"/>
              <w:bottom w:val="single" w:sz="4" w:space="0" w:color="auto"/>
              <w:right w:val="single" w:sz="4" w:space="0" w:color="auto"/>
            </w:tcBorders>
            <w:noWrap/>
            <w:hideMark/>
          </w:tcPr>
          <w:p w14:paraId="4BB97D0E"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3.4</w:t>
            </w:r>
          </w:p>
        </w:tc>
        <w:tc>
          <w:tcPr>
            <w:tcW w:w="900" w:type="dxa"/>
            <w:tcBorders>
              <w:top w:val="single" w:sz="4" w:space="0" w:color="auto"/>
              <w:left w:val="single" w:sz="4" w:space="0" w:color="auto"/>
              <w:bottom w:val="single" w:sz="4" w:space="0" w:color="auto"/>
              <w:right w:val="single" w:sz="4" w:space="0" w:color="auto"/>
            </w:tcBorders>
            <w:noWrap/>
            <w:hideMark/>
          </w:tcPr>
          <w:p w14:paraId="25FF5E06"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821</w:t>
            </w:r>
          </w:p>
        </w:tc>
        <w:tc>
          <w:tcPr>
            <w:tcW w:w="900" w:type="dxa"/>
            <w:tcBorders>
              <w:top w:val="single" w:sz="4" w:space="0" w:color="auto"/>
              <w:left w:val="single" w:sz="4" w:space="0" w:color="auto"/>
              <w:bottom w:val="single" w:sz="4" w:space="0" w:color="auto"/>
              <w:right w:val="single" w:sz="4" w:space="0" w:color="auto"/>
            </w:tcBorders>
            <w:noWrap/>
            <w:hideMark/>
          </w:tcPr>
          <w:p w14:paraId="50C6E126"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1089</w:t>
            </w:r>
          </w:p>
        </w:tc>
        <w:tc>
          <w:tcPr>
            <w:tcW w:w="900" w:type="dxa"/>
            <w:tcBorders>
              <w:top w:val="single" w:sz="4" w:space="0" w:color="auto"/>
              <w:left w:val="single" w:sz="4" w:space="0" w:color="auto"/>
              <w:bottom w:val="single" w:sz="4" w:space="0" w:color="auto"/>
              <w:right w:val="single" w:sz="4" w:space="0" w:color="auto"/>
            </w:tcBorders>
            <w:noWrap/>
            <w:hideMark/>
          </w:tcPr>
          <w:p w14:paraId="78B847E4"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836</w:t>
            </w:r>
          </w:p>
        </w:tc>
        <w:tc>
          <w:tcPr>
            <w:tcW w:w="900" w:type="dxa"/>
            <w:tcBorders>
              <w:top w:val="single" w:sz="4" w:space="0" w:color="auto"/>
              <w:left w:val="single" w:sz="4" w:space="0" w:color="auto"/>
              <w:bottom w:val="single" w:sz="4" w:space="0" w:color="auto"/>
              <w:right w:val="single" w:sz="4" w:space="0" w:color="auto"/>
            </w:tcBorders>
            <w:noWrap/>
            <w:hideMark/>
          </w:tcPr>
          <w:p w14:paraId="50AAF4E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1103</w:t>
            </w:r>
          </w:p>
        </w:tc>
      </w:tr>
      <w:tr w:rsidR="0053029C" w14:paraId="00E50388" w14:textId="77777777" w:rsidTr="0053029C">
        <w:trPr>
          <w:trHeight w:val="288"/>
        </w:trPr>
        <w:tc>
          <w:tcPr>
            <w:tcW w:w="1986" w:type="dxa"/>
            <w:tcBorders>
              <w:top w:val="single" w:sz="4" w:space="0" w:color="auto"/>
              <w:left w:val="single" w:sz="4" w:space="0" w:color="auto"/>
              <w:bottom w:val="single" w:sz="4" w:space="0" w:color="auto"/>
              <w:right w:val="single" w:sz="4" w:space="0" w:color="auto"/>
            </w:tcBorders>
            <w:noWrap/>
            <w:hideMark/>
          </w:tcPr>
          <w:p w14:paraId="258B6CCC"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Fossil fuel depletion</w:t>
            </w:r>
          </w:p>
        </w:tc>
        <w:tc>
          <w:tcPr>
            <w:tcW w:w="1158" w:type="dxa"/>
            <w:tcBorders>
              <w:top w:val="single" w:sz="4" w:space="0" w:color="auto"/>
              <w:left w:val="single" w:sz="4" w:space="0" w:color="auto"/>
              <w:bottom w:val="single" w:sz="4" w:space="0" w:color="auto"/>
              <w:right w:val="single" w:sz="4" w:space="0" w:color="auto"/>
            </w:tcBorders>
            <w:noWrap/>
            <w:hideMark/>
          </w:tcPr>
          <w:p w14:paraId="70D996B6" w14:textId="77777777" w:rsidR="0053029C" w:rsidRDefault="00530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MJ</w:t>
            </w:r>
          </w:p>
        </w:tc>
        <w:tc>
          <w:tcPr>
            <w:tcW w:w="900" w:type="dxa"/>
            <w:tcBorders>
              <w:top w:val="single" w:sz="4" w:space="0" w:color="auto"/>
              <w:left w:val="single" w:sz="4" w:space="0" w:color="auto"/>
              <w:bottom w:val="single" w:sz="4" w:space="0" w:color="auto"/>
              <w:right w:val="single" w:sz="4" w:space="0" w:color="auto"/>
            </w:tcBorders>
            <w:noWrap/>
            <w:hideMark/>
          </w:tcPr>
          <w:p w14:paraId="6677C4B1"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0.16</w:t>
            </w:r>
          </w:p>
        </w:tc>
        <w:tc>
          <w:tcPr>
            <w:tcW w:w="900" w:type="dxa"/>
            <w:tcBorders>
              <w:top w:val="single" w:sz="4" w:space="0" w:color="auto"/>
              <w:left w:val="single" w:sz="4" w:space="0" w:color="auto"/>
              <w:bottom w:val="single" w:sz="4" w:space="0" w:color="auto"/>
              <w:right w:val="single" w:sz="4" w:space="0" w:color="auto"/>
            </w:tcBorders>
            <w:noWrap/>
            <w:hideMark/>
          </w:tcPr>
          <w:p w14:paraId="1BC1AED1"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0.16</w:t>
            </w:r>
          </w:p>
        </w:tc>
        <w:tc>
          <w:tcPr>
            <w:tcW w:w="900" w:type="dxa"/>
            <w:tcBorders>
              <w:top w:val="single" w:sz="4" w:space="0" w:color="auto"/>
              <w:left w:val="single" w:sz="4" w:space="0" w:color="auto"/>
              <w:bottom w:val="single" w:sz="4" w:space="0" w:color="auto"/>
              <w:right w:val="single" w:sz="4" w:space="0" w:color="auto"/>
            </w:tcBorders>
            <w:noWrap/>
            <w:hideMark/>
          </w:tcPr>
          <w:p w14:paraId="705C4CB5"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0.28</w:t>
            </w:r>
          </w:p>
        </w:tc>
        <w:tc>
          <w:tcPr>
            <w:tcW w:w="900" w:type="dxa"/>
            <w:tcBorders>
              <w:top w:val="single" w:sz="4" w:space="0" w:color="auto"/>
              <w:left w:val="single" w:sz="4" w:space="0" w:color="auto"/>
              <w:bottom w:val="single" w:sz="4" w:space="0" w:color="auto"/>
              <w:right w:val="single" w:sz="4" w:space="0" w:color="auto"/>
            </w:tcBorders>
            <w:noWrap/>
            <w:hideMark/>
          </w:tcPr>
          <w:p w14:paraId="1FF7B238"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0.18</w:t>
            </w:r>
          </w:p>
        </w:tc>
        <w:tc>
          <w:tcPr>
            <w:tcW w:w="900" w:type="dxa"/>
            <w:tcBorders>
              <w:top w:val="single" w:sz="4" w:space="0" w:color="auto"/>
              <w:left w:val="single" w:sz="4" w:space="0" w:color="auto"/>
              <w:bottom w:val="single" w:sz="4" w:space="0" w:color="auto"/>
              <w:right w:val="single" w:sz="4" w:space="0" w:color="auto"/>
            </w:tcBorders>
            <w:noWrap/>
            <w:hideMark/>
          </w:tcPr>
          <w:p w14:paraId="7C7CC88F"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noWrap/>
            <w:hideMark/>
          </w:tcPr>
          <w:p w14:paraId="5A271B52"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0.38</w:t>
            </w:r>
          </w:p>
        </w:tc>
        <w:tc>
          <w:tcPr>
            <w:tcW w:w="900" w:type="dxa"/>
            <w:tcBorders>
              <w:top w:val="single" w:sz="4" w:space="0" w:color="auto"/>
              <w:left w:val="single" w:sz="4" w:space="0" w:color="auto"/>
              <w:bottom w:val="single" w:sz="4" w:space="0" w:color="auto"/>
              <w:right w:val="single" w:sz="4" w:space="0" w:color="auto"/>
            </w:tcBorders>
            <w:noWrap/>
            <w:hideMark/>
          </w:tcPr>
          <w:p w14:paraId="294FFEEB"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345</w:t>
            </w:r>
          </w:p>
        </w:tc>
        <w:tc>
          <w:tcPr>
            <w:tcW w:w="900" w:type="dxa"/>
            <w:tcBorders>
              <w:top w:val="single" w:sz="4" w:space="0" w:color="auto"/>
              <w:left w:val="single" w:sz="4" w:space="0" w:color="auto"/>
              <w:bottom w:val="single" w:sz="4" w:space="0" w:color="auto"/>
              <w:right w:val="single" w:sz="4" w:space="0" w:color="auto"/>
            </w:tcBorders>
            <w:noWrap/>
            <w:hideMark/>
          </w:tcPr>
          <w:p w14:paraId="7CF346F3"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629</w:t>
            </w:r>
          </w:p>
        </w:tc>
        <w:tc>
          <w:tcPr>
            <w:tcW w:w="900" w:type="dxa"/>
            <w:tcBorders>
              <w:top w:val="single" w:sz="4" w:space="0" w:color="auto"/>
              <w:left w:val="single" w:sz="4" w:space="0" w:color="auto"/>
              <w:bottom w:val="single" w:sz="4" w:space="0" w:color="auto"/>
              <w:right w:val="single" w:sz="4" w:space="0" w:color="auto"/>
            </w:tcBorders>
            <w:noWrap/>
            <w:hideMark/>
          </w:tcPr>
          <w:p w14:paraId="1BF5C05B"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356</w:t>
            </w:r>
          </w:p>
        </w:tc>
        <w:tc>
          <w:tcPr>
            <w:tcW w:w="900" w:type="dxa"/>
            <w:tcBorders>
              <w:top w:val="single" w:sz="4" w:space="0" w:color="auto"/>
              <w:left w:val="single" w:sz="4" w:space="0" w:color="auto"/>
              <w:bottom w:val="single" w:sz="4" w:space="0" w:color="auto"/>
              <w:right w:val="single" w:sz="4" w:space="0" w:color="auto"/>
            </w:tcBorders>
            <w:noWrap/>
            <w:hideMark/>
          </w:tcPr>
          <w:p w14:paraId="3DE12213" w14:textId="77777777" w:rsidR="0053029C" w:rsidRDefault="005302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640</w:t>
            </w:r>
          </w:p>
        </w:tc>
      </w:tr>
    </w:tbl>
    <w:p w14:paraId="6CC5169A" w14:textId="77777777" w:rsidR="0053029C" w:rsidRDefault="0053029C" w:rsidP="0053029C">
      <w:pPr>
        <w:rPr>
          <w:rFonts w:asciiTheme="minorHAnsi" w:eastAsiaTheme="minorHAnsi" w:hAnsiTheme="minorHAnsi" w:cstheme="minorBidi"/>
        </w:rPr>
      </w:pPr>
    </w:p>
    <w:p w14:paraId="09752BDA" w14:textId="77777777" w:rsidR="0053029C" w:rsidRDefault="0053029C" w:rsidP="0053029C">
      <w:pPr>
        <w:spacing w:after="0" w:line="480" w:lineRule="auto"/>
        <w:rPr>
          <w:rFonts w:ascii="Times New Roman" w:hAnsi="Times New Roman"/>
          <w:sz w:val="24"/>
          <w:szCs w:val="24"/>
        </w:rPr>
        <w:sectPr w:rsidR="0053029C" w:rsidSect="0053029C">
          <w:pgSz w:w="15840" w:h="12240" w:orient="landscape"/>
          <w:pgMar w:top="1440" w:right="1440" w:bottom="1440" w:left="1440" w:header="720" w:footer="720" w:gutter="0"/>
          <w:cols w:space="720"/>
          <w:docGrid w:linePitch="360"/>
        </w:sectPr>
      </w:pPr>
    </w:p>
    <w:p w14:paraId="3D265A11" w14:textId="551F8E2B" w:rsidR="001A6011" w:rsidRPr="00301629" w:rsidRDefault="00063A07" w:rsidP="0053029C">
      <w:pPr>
        <w:spacing w:after="0" w:line="480" w:lineRule="auto"/>
        <w:ind w:firstLine="720"/>
        <w:rPr>
          <w:rFonts w:ascii="Times New Roman" w:hAnsi="Times New Roman"/>
          <w:sz w:val="24"/>
          <w:szCs w:val="24"/>
        </w:rPr>
      </w:pPr>
      <w:r w:rsidRPr="00301629">
        <w:rPr>
          <w:rFonts w:ascii="Times New Roman" w:hAnsi="Times New Roman"/>
          <w:sz w:val="24"/>
          <w:szCs w:val="24"/>
        </w:rPr>
        <w:lastRenderedPageBreak/>
        <w:t xml:space="preserve">At higher contaminant concentrations (7.0 and 70 µg/L PFAS), greenhouse gas impacts of GAC-based </w:t>
      </w:r>
      <w:r w:rsidR="002D549E" w:rsidRPr="00301629">
        <w:rPr>
          <w:rFonts w:ascii="Times New Roman" w:hAnsi="Times New Roman"/>
          <w:sz w:val="24"/>
          <w:szCs w:val="24"/>
        </w:rPr>
        <w:t>treatment</w:t>
      </w:r>
      <w:r w:rsidRPr="00301629">
        <w:rPr>
          <w:rFonts w:ascii="Times New Roman" w:hAnsi="Times New Roman"/>
          <w:sz w:val="24"/>
          <w:szCs w:val="24"/>
        </w:rPr>
        <w:t xml:space="preserve"> increase</w:t>
      </w:r>
      <w:r w:rsidR="000E725B">
        <w:rPr>
          <w:rFonts w:ascii="Times New Roman" w:hAnsi="Times New Roman"/>
          <w:sz w:val="24"/>
          <w:szCs w:val="24"/>
        </w:rPr>
        <w:t>d</w:t>
      </w:r>
      <w:r w:rsidRPr="00301629">
        <w:rPr>
          <w:rFonts w:ascii="Times New Roman" w:hAnsi="Times New Roman"/>
          <w:sz w:val="24"/>
          <w:szCs w:val="24"/>
        </w:rPr>
        <w:t xml:space="preserve"> substantially to 0.54 and 2.7 kg</w:t>
      </w:r>
      <w:r w:rsidR="000E725B">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0E725B">
        <w:rPr>
          <w:rFonts w:ascii="Times New Roman" w:hAnsi="Times New Roman"/>
          <w:sz w:val="24"/>
          <w:szCs w:val="24"/>
          <w:vertAlign w:val="subscript"/>
        </w:rPr>
        <w:t xml:space="preserve"> </w:t>
      </w:r>
      <w:r w:rsidRPr="00301629">
        <w:rPr>
          <w:rFonts w:ascii="Times New Roman" w:hAnsi="Times New Roman"/>
          <w:sz w:val="24"/>
          <w:szCs w:val="24"/>
        </w:rPr>
        <w:t>eq/m</w:t>
      </w:r>
      <w:r w:rsidRPr="00301629">
        <w:rPr>
          <w:rFonts w:ascii="Times New Roman" w:hAnsi="Times New Roman"/>
          <w:sz w:val="24"/>
          <w:szCs w:val="24"/>
          <w:vertAlign w:val="superscript"/>
        </w:rPr>
        <w:t>3</w:t>
      </w:r>
      <w:r w:rsidRPr="00301629">
        <w:rPr>
          <w:rFonts w:ascii="Times New Roman" w:hAnsi="Times New Roman"/>
          <w:sz w:val="24"/>
          <w:szCs w:val="24"/>
        </w:rPr>
        <w:t xml:space="preserve"> H</w:t>
      </w:r>
      <w:r w:rsidRPr="00301629">
        <w:rPr>
          <w:rFonts w:ascii="Times New Roman" w:hAnsi="Times New Roman"/>
          <w:sz w:val="24"/>
          <w:szCs w:val="24"/>
          <w:vertAlign w:val="subscript"/>
        </w:rPr>
        <w:t>2</w:t>
      </w:r>
      <w:r w:rsidRPr="00301629">
        <w:rPr>
          <w:rFonts w:ascii="Times New Roman" w:hAnsi="Times New Roman"/>
          <w:sz w:val="24"/>
          <w:szCs w:val="24"/>
        </w:rPr>
        <w:t xml:space="preserve">O. GAC production and reactivation leads GAC-based </w:t>
      </w:r>
      <w:r w:rsidR="002D549E" w:rsidRPr="00301629">
        <w:rPr>
          <w:rFonts w:ascii="Times New Roman" w:hAnsi="Times New Roman"/>
          <w:sz w:val="24"/>
          <w:szCs w:val="24"/>
        </w:rPr>
        <w:t>treatment</w:t>
      </w:r>
      <w:r w:rsidRPr="00301629">
        <w:rPr>
          <w:rFonts w:ascii="Times New Roman" w:hAnsi="Times New Roman"/>
          <w:sz w:val="24"/>
          <w:szCs w:val="24"/>
        </w:rPr>
        <w:t xml:space="preserve"> impacts to outpace those from IEX-based </w:t>
      </w:r>
      <w:r w:rsidR="002D549E" w:rsidRPr="00301629">
        <w:rPr>
          <w:rFonts w:ascii="Times New Roman" w:hAnsi="Times New Roman"/>
          <w:sz w:val="24"/>
          <w:szCs w:val="24"/>
        </w:rPr>
        <w:t>treatment</w:t>
      </w:r>
      <w:r w:rsidRPr="00301629">
        <w:rPr>
          <w:rFonts w:ascii="Times New Roman" w:hAnsi="Times New Roman"/>
          <w:sz w:val="24"/>
          <w:szCs w:val="24"/>
        </w:rPr>
        <w:t xml:space="preserve"> at higher contaminant concentrations (Table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1).  At the highest contaminant concentrations, electricity consumption represent</w:t>
      </w:r>
      <w:r w:rsidR="000E725B">
        <w:rPr>
          <w:rFonts w:ascii="Times New Roman" w:hAnsi="Times New Roman"/>
          <w:sz w:val="24"/>
          <w:szCs w:val="24"/>
        </w:rPr>
        <w:t>ed</w:t>
      </w:r>
      <w:r w:rsidRPr="00301629">
        <w:rPr>
          <w:rFonts w:ascii="Times New Roman" w:hAnsi="Times New Roman"/>
          <w:sz w:val="24"/>
          <w:szCs w:val="24"/>
        </w:rPr>
        <w:t xml:space="preserve"> only 15% of climate change impacts from GAC-based </w:t>
      </w:r>
      <w:r w:rsidR="002D549E" w:rsidRPr="00301629">
        <w:rPr>
          <w:rFonts w:ascii="Times New Roman" w:hAnsi="Times New Roman"/>
          <w:sz w:val="24"/>
          <w:szCs w:val="24"/>
        </w:rPr>
        <w:t>treatment</w:t>
      </w:r>
      <w:r w:rsidRPr="00301629">
        <w:rPr>
          <w:rFonts w:ascii="Times New Roman" w:hAnsi="Times New Roman"/>
          <w:sz w:val="24"/>
          <w:szCs w:val="24"/>
        </w:rPr>
        <w:t xml:space="preserve">, but 63% of impacts from IEX-based </w:t>
      </w:r>
      <w:r w:rsidR="002D549E" w:rsidRPr="00301629">
        <w:rPr>
          <w:rFonts w:ascii="Times New Roman" w:hAnsi="Times New Roman"/>
          <w:sz w:val="24"/>
          <w:szCs w:val="24"/>
        </w:rPr>
        <w:t>treatment</w:t>
      </w:r>
      <w:r w:rsidRPr="00301629">
        <w:rPr>
          <w:rFonts w:ascii="Times New Roman" w:hAnsi="Times New Roman"/>
          <w:sz w:val="24"/>
          <w:szCs w:val="24"/>
        </w:rPr>
        <w:t xml:space="preserve">. </w:t>
      </w:r>
      <w:r w:rsidR="001A6011" w:rsidRPr="00301629">
        <w:rPr>
          <w:rFonts w:ascii="Times New Roman" w:hAnsi="Times New Roman"/>
          <w:sz w:val="24"/>
          <w:szCs w:val="24"/>
        </w:rPr>
        <w:t xml:space="preserve">Higher overall energy consumption throughout the GAC production and reactivation process leads to higher energy-related life cycle impacts across most categories, including fossil fuel depletion, respiratory effects, and smog formation (Table </w:t>
      </w:r>
      <w:r w:rsidR="002D1E76">
        <w:rPr>
          <w:rFonts w:ascii="Times New Roman" w:hAnsi="Times New Roman"/>
          <w:sz w:val="24"/>
          <w:szCs w:val="24"/>
        </w:rPr>
        <w:t>E5</w:t>
      </w:r>
      <w:r w:rsidR="008E6EED">
        <w:rPr>
          <w:rFonts w:ascii="Times New Roman" w:hAnsi="Times New Roman"/>
          <w:sz w:val="24"/>
          <w:szCs w:val="24"/>
        </w:rPr>
        <w:t>.</w:t>
      </w:r>
      <w:r w:rsidR="001A6011" w:rsidRPr="00301629">
        <w:rPr>
          <w:rFonts w:ascii="Times New Roman" w:hAnsi="Times New Roman"/>
          <w:sz w:val="24"/>
          <w:szCs w:val="24"/>
        </w:rPr>
        <w:t>1).</w:t>
      </w:r>
    </w:p>
    <w:p w14:paraId="2711C16F" w14:textId="5F58498C" w:rsidR="00063A07" w:rsidRPr="00301629" w:rsidRDefault="00063A07" w:rsidP="000E725B">
      <w:pPr>
        <w:spacing w:after="0" w:line="480" w:lineRule="auto"/>
        <w:ind w:firstLine="720"/>
        <w:rPr>
          <w:rFonts w:ascii="Times New Roman" w:hAnsi="Times New Roman"/>
          <w:sz w:val="24"/>
          <w:szCs w:val="24"/>
        </w:rPr>
      </w:pPr>
      <w:r w:rsidRPr="00301629">
        <w:rPr>
          <w:rFonts w:ascii="Times New Roman" w:hAnsi="Times New Roman"/>
          <w:sz w:val="24"/>
          <w:szCs w:val="24"/>
        </w:rPr>
        <w:t>Human health effects appear</w:t>
      </w:r>
      <w:r w:rsidR="000E725B">
        <w:rPr>
          <w:rFonts w:ascii="Times New Roman" w:hAnsi="Times New Roman"/>
          <w:sz w:val="24"/>
          <w:szCs w:val="24"/>
        </w:rPr>
        <w:t>ed</w:t>
      </w:r>
      <w:r w:rsidRPr="00301629">
        <w:rPr>
          <w:rFonts w:ascii="Times New Roman" w:hAnsi="Times New Roman"/>
          <w:sz w:val="24"/>
          <w:szCs w:val="24"/>
        </w:rPr>
        <w:t xml:space="preserve"> less sensitive to changes in GAC use rate. At 70 µg/L PFAS, electricity production continue</w:t>
      </w:r>
      <w:r w:rsidR="000E725B">
        <w:rPr>
          <w:rFonts w:ascii="Times New Roman" w:hAnsi="Times New Roman"/>
          <w:sz w:val="24"/>
          <w:szCs w:val="24"/>
        </w:rPr>
        <w:t>d</w:t>
      </w:r>
      <w:r w:rsidRPr="00301629">
        <w:rPr>
          <w:rFonts w:ascii="Times New Roman" w:hAnsi="Times New Roman"/>
          <w:sz w:val="24"/>
          <w:szCs w:val="24"/>
        </w:rPr>
        <w:t xml:space="preserve"> to dominate human health and ecotoxicity impacts of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with over 75% to 90% of health and ecotoxicity impacts from both GAC and IEX systems, </w:t>
      </w:r>
      <w:r w:rsidR="000E725B">
        <w:rPr>
          <w:rFonts w:ascii="Times New Roman" w:hAnsi="Times New Roman"/>
          <w:sz w:val="24"/>
          <w:szCs w:val="24"/>
        </w:rPr>
        <w:t>and</w:t>
      </w:r>
      <w:r w:rsidRPr="00301629">
        <w:rPr>
          <w:rFonts w:ascii="Times New Roman" w:hAnsi="Times New Roman"/>
          <w:sz w:val="24"/>
          <w:szCs w:val="24"/>
        </w:rPr>
        <w:t xml:space="preserve"> approximately 50% of life cycle health and ecotoxicity impacts from coal-fired electric generation. Life cycle electricity consumption increase</w:t>
      </w:r>
      <w:r w:rsidR="000E725B">
        <w:rPr>
          <w:rFonts w:ascii="Times New Roman" w:hAnsi="Times New Roman"/>
          <w:sz w:val="24"/>
          <w:szCs w:val="24"/>
        </w:rPr>
        <w:t>d</w:t>
      </w:r>
      <w:r w:rsidRPr="00301629">
        <w:rPr>
          <w:rFonts w:ascii="Times New Roman" w:hAnsi="Times New Roman"/>
          <w:sz w:val="24"/>
          <w:szCs w:val="24"/>
        </w:rPr>
        <w:t xml:space="preserve"> from 1.5 – 1.9 (GAC) and 1.5 – 1.6 (IEX) MJ/m</w:t>
      </w:r>
      <w:r w:rsidRPr="00301629">
        <w:rPr>
          <w:rFonts w:ascii="Times New Roman" w:hAnsi="Times New Roman"/>
          <w:sz w:val="24"/>
          <w:szCs w:val="24"/>
          <w:vertAlign w:val="superscript"/>
        </w:rPr>
        <w:t>3</w:t>
      </w:r>
      <w:r w:rsidRPr="00301629">
        <w:rPr>
          <w:rFonts w:ascii="Times New Roman" w:hAnsi="Times New Roman"/>
          <w:sz w:val="24"/>
          <w:szCs w:val="24"/>
        </w:rPr>
        <w:t xml:space="preserve"> remediated water from the baseline</w:t>
      </w:r>
      <w:r w:rsidR="001944C8" w:rsidRPr="00301629">
        <w:rPr>
          <w:rFonts w:ascii="Times New Roman" w:hAnsi="Times New Roman"/>
          <w:sz w:val="24"/>
          <w:szCs w:val="24"/>
        </w:rPr>
        <w:t xml:space="preserve"> (0.7</w:t>
      </w:r>
      <w:r w:rsidRPr="00301629">
        <w:rPr>
          <w:rFonts w:ascii="Times New Roman" w:hAnsi="Times New Roman"/>
          <w:sz w:val="24"/>
          <w:szCs w:val="24"/>
        </w:rPr>
        <w:t xml:space="preserve"> </w:t>
      </w:r>
      <w:r w:rsidR="001944C8" w:rsidRPr="00301629">
        <w:rPr>
          <w:rFonts w:ascii="Times New Roman" w:hAnsi="Times New Roman"/>
          <w:sz w:val="24"/>
          <w:szCs w:val="24"/>
        </w:rPr>
        <w:t xml:space="preserve">µg/L PFAS) </w:t>
      </w:r>
      <w:r w:rsidRPr="00301629">
        <w:rPr>
          <w:rFonts w:ascii="Times New Roman" w:hAnsi="Times New Roman"/>
          <w:sz w:val="24"/>
          <w:szCs w:val="24"/>
        </w:rPr>
        <w:t>and 70 µg/L PFAS scenarios.</w:t>
      </w:r>
    </w:p>
    <w:p w14:paraId="5D65937E" w14:textId="36FE457F" w:rsidR="00705376" w:rsidRDefault="00063A07" w:rsidP="000E725B">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Stochastic analyses generally mirror </w:t>
      </w:r>
      <w:r w:rsidR="000D40E9" w:rsidRPr="00301629">
        <w:rPr>
          <w:rFonts w:ascii="Times New Roman" w:hAnsi="Times New Roman"/>
          <w:sz w:val="24"/>
          <w:szCs w:val="24"/>
        </w:rPr>
        <w:t>deterministic</w:t>
      </w:r>
      <w:r w:rsidRPr="00301629">
        <w:rPr>
          <w:rFonts w:ascii="Times New Roman" w:hAnsi="Times New Roman"/>
          <w:sz w:val="24"/>
          <w:szCs w:val="24"/>
        </w:rPr>
        <w:t xml:space="preserve"> scenario results, with average climate change and human health impacts increasing substantially only at the highest contaminant level (70 µg/L PFAS,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 xml:space="preserve">2A and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 xml:space="preserve">3A). Mean and median values for climate change impacts of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trend</w:t>
      </w:r>
      <w:r w:rsidR="004C0A48">
        <w:rPr>
          <w:rFonts w:ascii="Times New Roman" w:hAnsi="Times New Roman"/>
          <w:sz w:val="24"/>
          <w:szCs w:val="24"/>
        </w:rPr>
        <w:t>ed</w:t>
      </w:r>
      <w:r w:rsidRPr="00301629">
        <w:rPr>
          <w:rFonts w:ascii="Times New Roman" w:hAnsi="Times New Roman"/>
          <w:sz w:val="24"/>
          <w:szCs w:val="24"/>
        </w:rPr>
        <w:t xml:space="preserve"> higher than </w:t>
      </w:r>
      <w:r w:rsidR="001944C8" w:rsidRPr="00301629">
        <w:rPr>
          <w:rFonts w:ascii="Times New Roman" w:hAnsi="Times New Roman"/>
          <w:sz w:val="24"/>
          <w:szCs w:val="24"/>
        </w:rPr>
        <w:t xml:space="preserve">the deterministic </w:t>
      </w:r>
      <w:r w:rsidRPr="00301629">
        <w:rPr>
          <w:rFonts w:ascii="Times New Roman" w:hAnsi="Times New Roman"/>
          <w:sz w:val="24"/>
          <w:szCs w:val="24"/>
        </w:rPr>
        <w:t xml:space="preserve">model results, particularly at higher contaminant concentrations and for IEX-based </w:t>
      </w:r>
      <w:r w:rsidR="002D549E" w:rsidRPr="00301629">
        <w:rPr>
          <w:rFonts w:ascii="Times New Roman" w:hAnsi="Times New Roman"/>
          <w:sz w:val="24"/>
          <w:szCs w:val="24"/>
        </w:rPr>
        <w:t>treatment</w:t>
      </w:r>
      <w:r w:rsidRPr="00301629">
        <w:rPr>
          <w:rFonts w:ascii="Times New Roman" w:hAnsi="Times New Roman"/>
          <w:sz w:val="24"/>
          <w:szCs w:val="24"/>
        </w:rPr>
        <w:t xml:space="preserve"> (up to 400 – 600% of </w:t>
      </w:r>
      <w:r w:rsidR="001944C8" w:rsidRPr="00301629">
        <w:rPr>
          <w:rFonts w:ascii="Times New Roman" w:hAnsi="Times New Roman"/>
          <w:sz w:val="24"/>
          <w:szCs w:val="24"/>
        </w:rPr>
        <w:t xml:space="preserve">the </w:t>
      </w:r>
      <w:r w:rsidR="000D40E9" w:rsidRPr="00301629">
        <w:rPr>
          <w:rFonts w:ascii="Times New Roman" w:hAnsi="Times New Roman"/>
          <w:sz w:val="24"/>
          <w:szCs w:val="24"/>
        </w:rPr>
        <w:t>deterministic</w:t>
      </w:r>
      <w:r w:rsidR="001944C8" w:rsidRPr="00301629">
        <w:rPr>
          <w:rFonts w:ascii="Times New Roman" w:hAnsi="Times New Roman"/>
          <w:sz w:val="24"/>
          <w:szCs w:val="24"/>
        </w:rPr>
        <w:t xml:space="preserve"> model</w:t>
      </w:r>
      <w:r w:rsidRPr="00301629">
        <w:rPr>
          <w:rFonts w:ascii="Times New Roman" w:hAnsi="Times New Roman"/>
          <w:sz w:val="24"/>
          <w:szCs w:val="24"/>
        </w:rPr>
        <w:t>).</w:t>
      </w:r>
      <w:r w:rsidR="00705376" w:rsidRPr="00301629">
        <w:rPr>
          <w:rFonts w:ascii="Times New Roman" w:hAnsi="Times New Roman"/>
          <w:sz w:val="24"/>
          <w:szCs w:val="24"/>
        </w:rPr>
        <w:t xml:space="preserve"> </w:t>
      </w:r>
      <w:r w:rsidR="00DE036C" w:rsidRPr="00301629">
        <w:rPr>
          <w:rFonts w:ascii="Times New Roman" w:hAnsi="Times New Roman"/>
          <w:sz w:val="24"/>
          <w:szCs w:val="24"/>
        </w:rPr>
        <w:t xml:space="preserve">Stochastic assessment of the difference between GAC and IEX treatments at the baseline PFAS concentration supports deterministic results that impacts </w:t>
      </w:r>
      <w:r w:rsidR="004C0A48">
        <w:rPr>
          <w:rFonts w:ascii="Times New Roman" w:hAnsi="Times New Roman"/>
          <w:sz w:val="24"/>
          <w:szCs w:val="24"/>
        </w:rPr>
        <w:lastRenderedPageBreak/>
        <w:t>we</w:t>
      </w:r>
      <w:r w:rsidR="00DE036C" w:rsidRPr="00301629">
        <w:rPr>
          <w:rFonts w:ascii="Times New Roman" w:hAnsi="Times New Roman"/>
          <w:sz w:val="24"/>
          <w:szCs w:val="24"/>
        </w:rPr>
        <w:t>re similar between treatment methods. Across most impact categories, GAC result</w:t>
      </w:r>
      <w:r w:rsidR="004C0A48">
        <w:rPr>
          <w:rFonts w:ascii="Times New Roman" w:hAnsi="Times New Roman"/>
          <w:sz w:val="24"/>
          <w:szCs w:val="24"/>
        </w:rPr>
        <w:t>ed</w:t>
      </w:r>
      <w:r w:rsidR="00DE036C" w:rsidRPr="00301629">
        <w:rPr>
          <w:rFonts w:ascii="Times New Roman" w:hAnsi="Times New Roman"/>
          <w:sz w:val="24"/>
          <w:szCs w:val="24"/>
        </w:rPr>
        <w:t xml:space="preserve"> in higher impacts in roughly 50-60% of model runs. At the highest contaminant level, stochastic assessment of the difference between treatments continue</w:t>
      </w:r>
      <w:r w:rsidR="004C0A48">
        <w:rPr>
          <w:rFonts w:ascii="Times New Roman" w:hAnsi="Times New Roman"/>
          <w:sz w:val="24"/>
          <w:szCs w:val="24"/>
        </w:rPr>
        <w:t>d</w:t>
      </w:r>
      <w:r w:rsidR="00DE036C" w:rsidRPr="00301629">
        <w:rPr>
          <w:rFonts w:ascii="Times New Roman" w:hAnsi="Times New Roman"/>
          <w:sz w:val="24"/>
          <w:szCs w:val="24"/>
        </w:rPr>
        <w:t xml:space="preserve"> to </w:t>
      </w:r>
      <w:r w:rsidR="00242A70" w:rsidRPr="00301629">
        <w:rPr>
          <w:rFonts w:ascii="Times New Roman" w:hAnsi="Times New Roman"/>
          <w:sz w:val="24"/>
          <w:szCs w:val="24"/>
        </w:rPr>
        <w:t xml:space="preserve">show higher average climate change impacts of GAC treatment, though not at 95% confidence. </w:t>
      </w:r>
      <w:r w:rsidR="00DE036C" w:rsidRPr="00301629">
        <w:rPr>
          <w:rFonts w:ascii="Times New Roman" w:hAnsi="Times New Roman"/>
          <w:sz w:val="24"/>
          <w:szCs w:val="24"/>
        </w:rPr>
        <w:t xml:space="preserve"> </w:t>
      </w:r>
    </w:p>
    <w:p w14:paraId="53BCE62A" w14:textId="77777777" w:rsidR="000F50A6" w:rsidRPr="00301629" w:rsidRDefault="000F50A6" w:rsidP="000E725B">
      <w:pPr>
        <w:spacing w:after="0" w:line="480" w:lineRule="auto"/>
        <w:ind w:firstLine="720"/>
        <w:rPr>
          <w:rFonts w:ascii="Times New Roman" w:hAnsi="Times New Roman"/>
          <w:sz w:val="24"/>
          <w:szCs w:val="24"/>
        </w:rPr>
      </w:pPr>
    </w:p>
    <w:p w14:paraId="2E0A6C4C" w14:textId="77A03AF0" w:rsidR="00705376" w:rsidRDefault="000F50A6" w:rsidP="000F50A6">
      <w:pPr>
        <w:spacing w:after="0" w:line="480" w:lineRule="auto"/>
        <w:jc w:val="center"/>
        <w:rPr>
          <w:rFonts w:ascii="Times New Roman" w:hAnsi="Times New Roman"/>
          <w:sz w:val="24"/>
          <w:szCs w:val="24"/>
        </w:rPr>
      </w:pPr>
      <w:r w:rsidRPr="000F50A6">
        <w:rPr>
          <w:rFonts w:ascii="Times New Roman" w:hAnsi="Times New Roman"/>
          <w:sz w:val="24"/>
          <w:szCs w:val="24"/>
        </w:rPr>
        <w:drawing>
          <wp:inline distT="0" distB="0" distL="0" distR="0" wp14:anchorId="590201BF" wp14:editId="3A7BB5E8">
            <wp:extent cx="5943600" cy="3945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945890"/>
                    </a:xfrm>
                    <a:prstGeom prst="rect">
                      <a:avLst/>
                    </a:prstGeom>
                  </pic:spPr>
                </pic:pic>
              </a:graphicData>
            </a:graphic>
          </wp:inline>
        </w:drawing>
      </w:r>
    </w:p>
    <w:p w14:paraId="1F741A3D" w14:textId="10D6A89C" w:rsidR="000C3BE6" w:rsidRPr="000C3BE6" w:rsidRDefault="000C3BE6" w:rsidP="000C3BE6">
      <w:pPr>
        <w:spacing w:line="480" w:lineRule="auto"/>
        <w:jc w:val="center"/>
        <w:rPr>
          <w:rFonts w:ascii="Times New Roman" w:hAnsi="Times New Roman"/>
          <w:sz w:val="24"/>
          <w:szCs w:val="24"/>
        </w:rPr>
      </w:pPr>
      <w:r w:rsidRPr="000F50A6">
        <w:rPr>
          <w:rFonts w:ascii="Times New Roman" w:hAnsi="Times New Roman"/>
          <w:sz w:val="24"/>
          <w:szCs w:val="24"/>
        </w:rPr>
        <w:t xml:space="preserve">Figure </w:t>
      </w:r>
      <w:r w:rsidR="002D1E76" w:rsidRPr="000F50A6">
        <w:rPr>
          <w:rFonts w:ascii="Times New Roman" w:hAnsi="Times New Roman"/>
          <w:sz w:val="24"/>
          <w:szCs w:val="24"/>
        </w:rPr>
        <w:t>E5</w:t>
      </w:r>
      <w:r w:rsidR="008E6EED" w:rsidRPr="000F50A6">
        <w:rPr>
          <w:rFonts w:ascii="Times New Roman" w:hAnsi="Times New Roman"/>
          <w:sz w:val="24"/>
          <w:szCs w:val="24"/>
        </w:rPr>
        <w:t>.</w:t>
      </w:r>
      <w:r w:rsidRPr="000F50A6">
        <w:rPr>
          <w:rFonts w:ascii="Times New Roman" w:hAnsi="Times New Roman"/>
          <w:sz w:val="24"/>
          <w:szCs w:val="24"/>
        </w:rPr>
        <w:t xml:space="preserve">2. (A) Greenhouse gas impacts of GAC and IEX remediation methods from baseline (0.7 µg/L), 7.0, and 70 µg/L combined PFOA and PFOS concentrations and (B) bottled water with resident pick-up or local delivery (LD). Bars indicate 95% confidence intervals (2.5 to 97.5 percentiles). Lines and circles indicate median and mean values, respectively. Studies (n = 24 (A), n = 33 (B)) reviewed by </w:t>
      </w:r>
      <w:proofErr w:type="spellStart"/>
      <w:r w:rsidRPr="000F50A6">
        <w:rPr>
          <w:rFonts w:ascii="Times New Roman" w:hAnsi="Times New Roman"/>
          <w:sz w:val="24"/>
          <w:szCs w:val="24"/>
        </w:rPr>
        <w:t>Fantin</w:t>
      </w:r>
      <w:proofErr w:type="spellEnd"/>
      <w:r w:rsidRPr="000F50A6">
        <w:rPr>
          <w:rFonts w:ascii="Times New Roman" w:hAnsi="Times New Roman"/>
          <w:sz w:val="24"/>
          <w:szCs w:val="24"/>
        </w:rPr>
        <w:t xml:space="preserve"> et al. (2014) are displayed in both figures for comparison purposes.</w:t>
      </w:r>
    </w:p>
    <w:p w14:paraId="67FA9249" w14:textId="6A8DE2E7" w:rsidR="000C3BE6" w:rsidRPr="000C3BE6" w:rsidRDefault="0027294E" w:rsidP="000C3BE6">
      <w:pPr>
        <w:spacing w:after="0" w:line="480" w:lineRule="auto"/>
        <w:jc w:val="center"/>
        <w:rPr>
          <w:rFonts w:ascii="Times New Roman" w:hAnsi="Times New Roman"/>
          <w:sz w:val="32"/>
          <w:szCs w:val="32"/>
        </w:rPr>
      </w:pPr>
      <w:r w:rsidRPr="0027294E">
        <w:rPr>
          <w:rFonts w:ascii="Times New Roman" w:hAnsi="Times New Roman"/>
          <w:sz w:val="32"/>
          <w:szCs w:val="32"/>
        </w:rPr>
        <w:lastRenderedPageBreak/>
        <w:drawing>
          <wp:inline distT="0" distB="0" distL="0" distR="0" wp14:anchorId="604697C0" wp14:editId="0F3886CE">
            <wp:extent cx="5839640" cy="3953427"/>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39640" cy="3953427"/>
                    </a:xfrm>
                    <a:prstGeom prst="rect">
                      <a:avLst/>
                    </a:prstGeom>
                  </pic:spPr>
                </pic:pic>
              </a:graphicData>
            </a:graphic>
          </wp:inline>
        </w:drawing>
      </w:r>
    </w:p>
    <w:p w14:paraId="44CE0243" w14:textId="339CBEEE" w:rsidR="000C3BE6" w:rsidRPr="000C3BE6" w:rsidRDefault="000C3BE6" w:rsidP="000C3BE6">
      <w:pPr>
        <w:spacing w:after="0" w:line="480" w:lineRule="auto"/>
        <w:jc w:val="center"/>
        <w:rPr>
          <w:rFonts w:ascii="Times New Roman" w:hAnsi="Times New Roman"/>
          <w:sz w:val="24"/>
          <w:szCs w:val="24"/>
        </w:rPr>
      </w:pPr>
      <w:r w:rsidRPr="0027294E">
        <w:rPr>
          <w:rFonts w:ascii="Times New Roman" w:hAnsi="Times New Roman"/>
          <w:sz w:val="24"/>
          <w:szCs w:val="24"/>
        </w:rPr>
        <w:t xml:space="preserve">Figure </w:t>
      </w:r>
      <w:r w:rsidR="002D1E76" w:rsidRPr="0027294E">
        <w:rPr>
          <w:rFonts w:ascii="Times New Roman" w:hAnsi="Times New Roman"/>
          <w:sz w:val="24"/>
          <w:szCs w:val="24"/>
        </w:rPr>
        <w:t>E5</w:t>
      </w:r>
      <w:r w:rsidR="008E6EED" w:rsidRPr="0027294E">
        <w:rPr>
          <w:rFonts w:ascii="Times New Roman" w:hAnsi="Times New Roman"/>
          <w:sz w:val="24"/>
          <w:szCs w:val="24"/>
        </w:rPr>
        <w:t>.</w:t>
      </w:r>
      <w:r w:rsidRPr="0027294E">
        <w:rPr>
          <w:rFonts w:ascii="Times New Roman" w:hAnsi="Times New Roman"/>
          <w:sz w:val="24"/>
          <w:szCs w:val="24"/>
        </w:rPr>
        <w:t>3. (A) Human health impacts of clean water supply via remediated groundwater from baseline (0.7 µg/L), 7.0, and 70 µg/L contaminant concentrations and (B) bottled water with resident pick-up or local delivery (LD). Bars indicate 95% confidence intervals (2.5 to 97.5 percentiles). Lines and circles indicate median and mean values, respectively.</w:t>
      </w:r>
    </w:p>
    <w:p w14:paraId="6D53D98E" w14:textId="77777777" w:rsidR="000C3BE6" w:rsidRDefault="000C3BE6" w:rsidP="00301629">
      <w:pPr>
        <w:spacing w:after="0" w:line="480" w:lineRule="auto"/>
        <w:rPr>
          <w:rFonts w:ascii="Times New Roman" w:hAnsi="Times New Roman"/>
          <w:sz w:val="24"/>
          <w:szCs w:val="24"/>
        </w:rPr>
      </w:pPr>
    </w:p>
    <w:p w14:paraId="17187190" w14:textId="55FD0D05" w:rsidR="00063A07" w:rsidRPr="00301629" w:rsidRDefault="00063A07" w:rsidP="00351138">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Average human health impacts </w:t>
      </w:r>
      <w:r w:rsidR="005D267F">
        <w:rPr>
          <w:rFonts w:ascii="Times New Roman" w:hAnsi="Times New Roman"/>
          <w:sz w:val="24"/>
          <w:szCs w:val="24"/>
        </w:rPr>
        <w:t>we</w:t>
      </w:r>
      <w:r w:rsidRPr="00301629">
        <w:rPr>
          <w:rFonts w:ascii="Times New Roman" w:hAnsi="Times New Roman"/>
          <w:sz w:val="24"/>
          <w:szCs w:val="24"/>
        </w:rPr>
        <w:t xml:space="preserve">re similar in stochastic and static models (±20% of </w:t>
      </w:r>
      <w:r w:rsidR="001944C8" w:rsidRPr="00301629">
        <w:rPr>
          <w:rFonts w:ascii="Times New Roman" w:hAnsi="Times New Roman"/>
          <w:sz w:val="24"/>
          <w:szCs w:val="24"/>
        </w:rPr>
        <w:t xml:space="preserve">the </w:t>
      </w:r>
      <w:r w:rsidR="000D40E9" w:rsidRPr="00301629">
        <w:rPr>
          <w:rFonts w:ascii="Times New Roman" w:hAnsi="Times New Roman"/>
          <w:sz w:val="24"/>
          <w:szCs w:val="24"/>
        </w:rPr>
        <w:t>deterministic</w:t>
      </w:r>
      <w:r w:rsidR="001944C8" w:rsidRPr="00301629">
        <w:rPr>
          <w:rFonts w:ascii="Times New Roman" w:hAnsi="Times New Roman"/>
          <w:sz w:val="24"/>
          <w:szCs w:val="24"/>
        </w:rPr>
        <w:t xml:space="preserve"> model</w:t>
      </w:r>
      <w:r w:rsidRPr="00301629">
        <w:rPr>
          <w:rFonts w:ascii="Times New Roman" w:hAnsi="Times New Roman"/>
          <w:sz w:val="24"/>
          <w:szCs w:val="24"/>
        </w:rPr>
        <w:t xml:space="preserve">), except at 70 µg/L PFAS where stochastic averages </w:t>
      </w:r>
      <w:r w:rsidR="002C3110">
        <w:rPr>
          <w:rFonts w:ascii="Times New Roman" w:hAnsi="Times New Roman"/>
          <w:sz w:val="24"/>
          <w:szCs w:val="24"/>
        </w:rPr>
        <w:t>we</w:t>
      </w:r>
      <w:r w:rsidRPr="00301629">
        <w:rPr>
          <w:rFonts w:ascii="Times New Roman" w:hAnsi="Times New Roman"/>
          <w:sz w:val="24"/>
          <w:szCs w:val="24"/>
        </w:rPr>
        <w:t xml:space="preserve">re 180% – 230% of </w:t>
      </w:r>
      <w:r w:rsidR="001944C8" w:rsidRPr="00301629">
        <w:rPr>
          <w:rFonts w:ascii="Times New Roman" w:hAnsi="Times New Roman"/>
          <w:sz w:val="24"/>
          <w:szCs w:val="24"/>
        </w:rPr>
        <w:t xml:space="preserve">the </w:t>
      </w:r>
      <w:r w:rsidR="000D40E9" w:rsidRPr="00301629">
        <w:rPr>
          <w:rFonts w:ascii="Times New Roman" w:hAnsi="Times New Roman"/>
          <w:sz w:val="24"/>
          <w:szCs w:val="24"/>
        </w:rPr>
        <w:t>deterministic</w:t>
      </w:r>
      <w:r w:rsidR="001944C8" w:rsidRPr="00301629">
        <w:rPr>
          <w:rFonts w:ascii="Times New Roman" w:hAnsi="Times New Roman"/>
          <w:sz w:val="24"/>
          <w:szCs w:val="24"/>
        </w:rPr>
        <w:t xml:space="preserve"> model</w:t>
      </w:r>
      <w:r w:rsidRPr="00301629" w:rsidDel="0036034A">
        <w:rPr>
          <w:rFonts w:ascii="Times New Roman" w:hAnsi="Times New Roman"/>
          <w:sz w:val="24"/>
          <w:szCs w:val="24"/>
        </w:rPr>
        <w:t xml:space="preserve"> </w:t>
      </w:r>
      <w:r w:rsidRPr="00301629">
        <w:rPr>
          <w:rFonts w:ascii="Times New Roman" w:hAnsi="Times New Roman"/>
          <w:sz w:val="24"/>
          <w:szCs w:val="24"/>
        </w:rPr>
        <w:t xml:space="preserve">for GAC and IEX, respectively. Though GAC </w:t>
      </w:r>
      <w:r w:rsidR="002D549E" w:rsidRPr="00301629">
        <w:rPr>
          <w:rFonts w:ascii="Times New Roman" w:hAnsi="Times New Roman"/>
          <w:sz w:val="24"/>
          <w:szCs w:val="24"/>
        </w:rPr>
        <w:t>treatment</w:t>
      </w:r>
      <w:r w:rsidRPr="00301629">
        <w:rPr>
          <w:rFonts w:ascii="Times New Roman" w:hAnsi="Times New Roman"/>
          <w:sz w:val="24"/>
          <w:szCs w:val="24"/>
        </w:rPr>
        <w:t xml:space="preserve"> generate</w:t>
      </w:r>
      <w:r w:rsidR="005D267F">
        <w:rPr>
          <w:rFonts w:ascii="Times New Roman" w:hAnsi="Times New Roman"/>
          <w:sz w:val="24"/>
          <w:szCs w:val="24"/>
        </w:rPr>
        <w:t>d</w:t>
      </w:r>
      <w:r w:rsidRPr="00301629">
        <w:rPr>
          <w:rFonts w:ascii="Times New Roman" w:hAnsi="Times New Roman"/>
          <w:sz w:val="24"/>
          <w:szCs w:val="24"/>
        </w:rPr>
        <w:t xml:space="preserve"> higher average impacts than IEX-based </w:t>
      </w:r>
      <w:r w:rsidR="002D549E" w:rsidRPr="00301629">
        <w:rPr>
          <w:rFonts w:ascii="Times New Roman" w:hAnsi="Times New Roman"/>
          <w:sz w:val="24"/>
          <w:szCs w:val="24"/>
        </w:rPr>
        <w:t>treatment</w:t>
      </w:r>
      <w:r w:rsidRPr="00301629">
        <w:rPr>
          <w:rFonts w:ascii="Times New Roman" w:hAnsi="Times New Roman"/>
          <w:sz w:val="24"/>
          <w:szCs w:val="24"/>
        </w:rPr>
        <w:t xml:space="preserve">, confidence intervals for each pair of </w:t>
      </w:r>
      <w:r w:rsidR="002D549E" w:rsidRPr="00301629">
        <w:rPr>
          <w:rFonts w:ascii="Times New Roman" w:hAnsi="Times New Roman"/>
          <w:sz w:val="24"/>
          <w:szCs w:val="24"/>
        </w:rPr>
        <w:t>treatment</w:t>
      </w:r>
      <w:r w:rsidRPr="00301629">
        <w:rPr>
          <w:rFonts w:ascii="Times New Roman" w:hAnsi="Times New Roman"/>
          <w:sz w:val="24"/>
          <w:szCs w:val="24"/>
        </w:rPr>
        <w:t xml:space="preserve"> scenarios largely overlap</w:t>
      </w:r>
      <w:r w:rsidR="005D267F">
        <w:rPr>
          <w:rFonts w:ascii="Times New Roman" w:hAnsi="Times New Roman"/>
          <w:sz w:val="24"/>
          <w:szCs w:val="24"/>
        </w:rPr>
        <w:t>ped</w:t>
      </w:r>
      <w:r w:rsidRPr="00301629">
        <w:rPr>
          <w:rFonts w:ascii="Times New Roman" w:hAnsi="Times New Roman"/>
          <w:sz w:val="24"/>
          <w:szCs w:val="24"/>
        </w:rPr>
        <w:t>. Uncertainty in both climate change and aggregated human health impacts for both systems cover an order of magnitude (1 – 13 kg</w:t>
      </w:r>
      <w:r w:rsidR="005D267F">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5D267F">
        <w:rPr>
          <w:rFonts w:ascii="Times New Roman" w:hAnsi="Times New Roman"/>
          <w:sz w:val="24"/>
          <w:szCs w:val="24"/>
          <w:vertAlign w:val="subscript"/>
        </w:rPr>
        <w:t xml:space="preserve"> </w:t>
      </w:r>
      <w:r w:rsidRPr="00301629">
        <w:rPr>
          <w:rFonts w:ascii="Times New Roman" w:hAnsi="Times New Roman"/>
          <w:sz w:val="24"/>
          <w:szCs w:val="24"/>
        </w:rPr>
        <w:t xml:space="preserve">eq,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 xml:space="preserve">2; 0.5 – 4.5 </w:t>
      </w:r>
      <w:r w:rsidR="00E90DBD" w:rsidRPr="00301629">
        <w:rPr>
          <w:rFonts w:ascii="Times New Roman" w:hAnsi="Times New Roman"/>
          <w:sz w:val="24"/>
          <w:szCs w:val="24"/>
        </w:rPr>
        <w:t>×</w:t>
      </w:r>
      <w:r w:rsidRPr="00301629">
        <w:rPr>
          <w:rFonts w:ascii="Times New Roman" w:hAnsi="Times New Roman"/>
          <w:sz w:val="24"/>
          <w:szCs w:val="24"/>
        </w:rPr>
        <w:t>10</w:t>
      </w:r>
      <w:r w:rsidRPr="00301629">
        <w:rPr>
          <w:rFonts w:ascii="Times New Roman" w:hAnsi="Times New Roman"/>
          <w:sz w:val="24"/>
          <w:szCs w:val="24"/>
          <w:vertAlign w:val="superscript"/>
        </w:rPr>
        <w:t>-6</w:t>
      </w:r>
      <w:r w:rsidRPr="00301629">
        <w:rPr>
          <w:rFonts w:ascii="Times New Roman" w:hAnsi="Times New Roman"/>
          <w:sz w:val="24"/>
          <w:szCs w:val="24"/>
        </w:rPr>
        <w:t xml:space="preserve"> DALY,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3).</w:t>
      </w:r>
      <w:r w:rsidR="00705376" w:rsidRPr="00301629">
        <w:rPr>
          <w:rFonts w:ascii="Times New Roman" w:hAnsi="Times New Roman"/>
          <w:sz w:val="24"/>
          <w:szCs w:val="24"/>
        </w:rPr>
        <w:t xml:space="preserve"> </w:t>
      </w:r>
      <w:r w:rsidR="00242A70" w:rsidRPr="00301629">
        <w:rPr>
          <w:rFonts w:ascii="Times New Roman" w:hAnsi="Times New Roman"/>
          <w:sz w:val="24"/>
          <w:szCs w:val="24"/>
        </w:rPr>
        <w:t xml:space="preserve">Though a stochastic assessment of the difference between GAC and </w:t>
      </w:r>
      <w:r w:rsidR="00242A70" w:rsidRPr="00301629">
        <w:rPr>
          <w:rFonts w:ascii="Times New Roman" w:hAnsi="Times New Roman"/>
          <w:sz w:val="24"/>
          <w:szCs w:val="24"/>
        </w:rPr>
        <w:lastRenderedPageBreak/>
        <w:t>IEX treatments show</w:t>
      </w:r>
      <w:r w:rsidR="005D267F">
        <w:rPr>
          <w:rFonts w:ascii="Times New Roman" w:hAnsi="Times New Roman"/>
          <w:sz w:val="24"/>
          <w:szCs w:val="24"/>
        </w:rPr>
        <w:t>ed</w:t>
      </w:r>
      <w:r w:rsidR="00242A70" w:rsidRPr="00301629">
        <w:rPr>
          <w:rFonts w:ascii="Times New Roman" w:hAnsi="Times New Roman"/>
          <w:sz w:val="24"/>
          <w:szCs w:val="24"/>
        </w:rPr>
        <w:t xml:space="preserve"> higher human health impacts of IEX in </w:t>
      </w:r>
      <w:proofErr w:type="gramStart"/>
      <w:r w:rsidR="00242A70" w:rsidRPr="00301629">
        <w:rPr>
          <w:rFonts w:ascii="Times New Roman" w:hAnsi="Times New Roman"/>
          <w:sz w:val="24"/>
          <w:szCs w:val="24"/>
        </w:rPr>
        <w:t>a majority of</w:t>
      </w:r>
      <w:proofErr w:type="gramEnd"/>
      <w:r w:rsidR="00242A70" w:rsidRPr="00301629">
        <w:rPr>
          <w:rFonts w:ascii="Times New Roman" w:hAnsi="Times New Roman"/>
          <w:sz w:val="24"/>
          <w:szCs w:val="24"/>
        </w:rPr>
        <w:t xml:space="preserve"> cases, differences between the two treatment methods </w:t>
      </w:r>
      <w:r w:rsidR="005D267F">
        <w:rPr>
          <w:rFonts w:ascii="Times New Roman" w:hAnsi="Times New Roman"/>
          <w:sz w:val="24"/>
          <w:szCs w:val="24"/>
        </w:rPr>
        <w:t>we</w:t>
      </w:r>
      <w:r w:rsidR="00242A70" w:rsidRPr="00301629">
        <w:rPr>
          <w:rFonts w:ascii="Times New Roman" w:hAnsi="Times New Roman"/>
          <w:sz w:val="24"/>
          <w:szCs w:val="24"/>
        </w:rPr>
        <w:t>re near zero at both baseline PFAS concentration and 70 µg/l.</w:t>
      </w:r>
    </w:p>
    <w:p w14:paraId="1FC94ECC" w14:textId="77777777" w:rsidR="00063A07" w:rsidRPr="00301629" w:rsidRDefault="00063A07" w:rsidP="00301629">
      <w:pPr>
        <w:spacing w:after="0" w:line="480" w:lineRule="auto"/>
        <w:rPr>
          <w:rFonts w:ascii="Times New Roman" w:hAnsi="Times New Roman"/>
          <w:sz w:val="24"/>
          <w:szCs w:val="24"/>
        </w:rPr>
      </w:pPr>
    </w:p>
    <w:p w14:paraId="08E0A568" w14:textId="2777BA1A" w:rsidR="00063A07" w:rsidRPr="005D267F" w:rsidRDefault="005D267F" w:rsidP="005D267F">
      <w:pPr>
        <w:pStyle w:val="Heading3"/>
        <w:numPr>
          <w:ilvl w:val="1"/>
          <w:numId w:val="4"/>
        </w:numPr>
        <w:spacing w:before="0" w:line="480" w:lineRule="auto"/>
        <w:rPr>
          <w:rFonts w:ascii="Times New Roman" w:hAnsi="Times New Roman"/>
          <w:b/>
          <w:bCs/>
          <w:color w:val="auto"/>
        </w:rPr>
      </w:pPr>
      <w:r w:rsidRPr="005D267F">
        <w:rPr>
          <w:rFonts w:ascii="Times New Roman" w:hAnsi="Times New Roman"/>
          <w:b/>
          <w:bCs/>
          <w:color w:val="auto"/>
        </w:rPr>
        <w:t xml:space="preserve"> </w:t>
      </w:r>
      <w:r w:rsidR="00063A07" w:rsidRPr="005D267F">
        <w:rPr>
          <w:rFonts w:ascii="Times New Roman" w:hAnsi="Times New Roman"/>
          <w:b/>
          <w:bCs/>
          <w:color w:val="auto"/>
        </w:rPr>
        <w:t>Bottled water</w:t>
      </w:r>
    </w:p>
    <w:p w14:paraId="2D362A39" w14:textId="69B0BF6F" w:rsidR="00063A07" w:rsidRPr="00301629" w:rsidRDefault="00063A07" w:rsidP="005D267F">
      <w:pPr>
        <w:spacing w:after="0" w:line="480" w:lineRule="auto"/>
        <w:ind w:firstLine="720"/>
        <w:rPr>
          <w:rFonts w:ascii="Times New Roman" w:hAnsi="Times New Roman"/>
          <w:sz w:val="24"/>
          <w:szCs w:val="24"/>
        </w:rPr>
      </w:pPr>
      <w:r w:rsidRPr="00301629">
        <w:rPr>
          <w:rFonts w:ascii="Times New Roman" w:hAnsi="Times New Roman"/>
          <w:sz w:val="24"/>
          <w:szCs w:val="24"/>
        </w:rPr>
        <w:t>Production and delivery of bottled water generate</w:t>
      </w:r>
      <w:r w:rsidR="00ED085E">
        <w:rPr>
          <w:rFonts w:ascii="Times New Roman" w:hAnsi="Times New Roman"/>
          <w:sz w:val="24"/>
          <w:szCs w:val="24"/>
        </w:rPr>
        <w:t>d</w:t>
      </w:r>
      <w:r w:rsidRPr="00301629">
        <w:rPr>
          <w:rFonts w:ascii="Times New Roman" w:hAnsi="Times New Roman"/>
          <w:sz w:val="24"/>
          <w:szCs w:val="24"/>
        </w:rPr>
        <w:t xml:space="preserve"> life-cycle impacts orders of magnitude larger than remediated groundwater on a common volume basis (Table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1). Differences between the two model data sets (</w:t>
      </w:r>
      <w:r w:rsidR="00ED085E">
        <w:rPr>
          <w:rFonts w:ascii="Times New Roman" w:hAnsi="Times New Roman"/>
          <w:sz w:val="24"/>
          <w:szCs w:val="24"/>
        </w:rPr>
        <w:t>b</w:t>
      </w:r>
      <w:r w:rsidRPr="00301629">
        <w:rPr>
          <w:rFonts w:ascii="Times New Roman" w:hAnsi="Times New Roman"/>
          <w:sz w:val="24"/>
          <w:szCs w:val="24"/>
        </w:rPr>
        <w:t xml:space="preserve">rand 1 and </w:t>
      </w:r>
      <w:r w:rsidR="00ED085E">
        <w:rPr>
          <w:rFonts w:ascii="Times New Roman" w:hAnsi="Times New Roman"/>
          <w:sz w:val="24"/>
          <w:szCs w:val="24"/>
        </w:rPr>
        <w:t>b</w:t>
      </w:r>
      <w:r w:rsidRPr="00301629">
        <w:rPr>
          <w:rFonts w:ascii="Times New Roman" w:hAnsi="Times New Roman"/>
          <w:sz w:val="24"/>
          <w:szCs w:val="24"/>
        </w:rPr>
        <w:t>rand 2) stem</w:t>
      </w:r>
      <w:r w:rsidR="00ED085E">
        <w:rPr>
          <w:rFonts w:ascii="Times New Roman" w:hAnsi="Times New Roman"/>
          <w:sz w:val="24"/>
          <w:szCs w:val="24"/>
        </w:rPr>
        <w:t>med</w:t>
      </w:r>
      <w:r w:rsidRPr="00301629">
        <w:rPr>
          <w:rFonts w:ascii="Times New Roman" w:hAnsi="Times New Roman"/>
          <w:sz w:val="24"/>
          <w:szCs w:val="24"/>
        </w:rPr>
        <w:t xml:space="preserve"> primarily from the type and quantity of energy used in PET bottle manufacturing. Production of </w:t>
      </w:r>
      <w:r w:rsidR="00ED085E">
        <w:rPr>
          <w:rFonts w:ascii="Times New Roman" w:hAnsi="Times New Roman"/>
          <w:sz w:val="24"/>
          <w:szCs w:val="24"/>
        </w:rPr>
        <w:t>b</w:t>
      </w:r>
      <w:r w:rsidRPr="00301629">
        <w:rPr>
          <w:rFonts w:ascii="Times New Roman" w:hAnsi="Times New Roman"/>
          <w:sz w:val="24"/>
          <w:szCs w:val="24"/>
        </w:rPr>
        <w:t>rand 1 bottles generate</w:t>
      </w:r>
      <w:r w:rsidR="00ED085E">
        <w:rPr>
          <w:rFonts w:ascii="Times New Roman" w:hAnsi="Times New Roman"/>
          <w:sz w:val="24"/>
          <w:szCs w:val="24"/>
        </w:rPr>
        <w:t>d</w:t>
      </w:r>
      <w:r w:rsidRPr="00301629">
        <w:rPr>
          <w:rFonts w:ascii="Times New Roman" w:hAnsi="Times New Roman"/>
          <w:sz w:val="24"/>
          <w:szCs w:val="24"/>
        </w:rPr>
        <w:t xml:space="preserve"> 75 kg</w:t>
      </w:r>
      <w:r w:rsidR="00ED085E">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ED085E">
        <w:rPr>
          <w:rFonts w:ascii="Times New Roman" w:hAnsi="Times New Roman"/>
          <w:sz w:val="24"/>
          <w:szCs w:val="24"/>
          <w:vertAlign w:val="subscript"/>
        </w:rPr>
        <w:t xml:space="preserve"> </w:t>
      </w:r>
      <w:r w:rsidRPr="00301629">
        <w:rPr>
          <w:rFonts w:ascii="Times New Roman" w:hAnsi="Times New Roman"/>
          <w:sz w:val="24"/>
          <w:szCs w:val="24"/>
        </w:rPr>
        <w:t>e</w:t>
      </w:r>
      <w:r w:rsidR="00ED085E">
        <w:rPr>
          <w:rFonts w:ascii="Times New Roman" w:hAnsi="Times New Roman"/>
          <w:sz w:val="24"/>
          <w:szCs w:val="24"/>
        </w:rPr>
        <w:t>q</w:t>
      </w:r>
      <w:r w:rsidRPr="00301629">
        <w:rPr>
          <w:rFonts w:ascii="Times New Roman" w:hAnsi="Times New Roman"/>
          <w:sz w:val="24"/>
          <w:szCs w:val="24"/>
        </w:rPr>
        <w:t>/m</w:t>
      </w:r>
      <w:r w:rsidRPr="00301629">
        <w:rPr>
          <w:rFonts w:ascii="Times New Roman" w:hAnsi="Times New Roman"/>
          <w:sz w:val="24"/>
          <w:szCs w:val="24"/>
          <w:vertAlign w:val="superscript"/>
        </w:rPr>
        <w:t>3</w:t>
      </w:r>
      <w:r w:rsidRPr="00301629">
        <w:rPr>
          <w:rFonts w:ascii="Times New Roman" w:hAnsi="Times New Roman"/>
          <w:sz w:val="24"/>
          <w:szCs w:val="24"/>
        </w:rPr>
        <w:t xml:space="preserve"> bottled water, relative to 135 kg</w:t>
      </w:r>
      <w:r w:rsidR="00ED085E">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ED085E">
        <w:rPr>
          <w:rFonts w:ascii="Times New Roman" w:hAnsi="Times New Roman"/>
          <w:sz w:val="24"/>
          <w:szCs w:val="24"/>
          <w:vertAlign w:val="subscript"/>
        </w:rPr>
        <w:t xml:space="preserve"> </w:t>
      </w:r>
      <w:r w:rsidRPr="00301629">
        <w:rPr>
          <w:rFonts w:ascii="Times New Roman" w:hAnsi="Times New Roman"/>
          <w:sz w:val="24"/>
          <w:szCs w:val="24"/>
        </w:rPr>
        <w:t>e</w:t>
      </w:r>
      <w:r w:rsidR="00ED085E">
        <w:rPr>
          <w:rFonts w:ascii="Times New Roman" w:hAnsi="Times New Roman"/>
          <w:sz w:val="24"/>
          <w:szCs w:val="24"/>
        </w:rPr>
        <w:t>q</w:t>
      </w:r>
      <w:r w:rsidRPr="00301629">
        <w:rPr>
          <w:rFonts w:ascii="Times New Roman" w:hAnsi="Times New Roman"/>
          <w:sz w:val="24"/>
          <w:szCs w:val="24"/>
        </w:rPr>
        <w:t>/m</w:t>
      </w:r>
      <w:r w:rsidRPr="00301629">
        <w:rPr>
          <w:rFonts w:ascii="Times New Roman" w:hAnsi="Times New Roman"/>
          <w:sz w:val="24"/>
          <w:szCs w:val="24"/>
          <w:vertAlign w:val="superscript"/>
        </w:rPr>
        <w:t>3</w:t>
      </w:r>
      <w:r w:rsidRPr="00301629">
        <w:rPr>
          <w:rFonts w:ascii="Times New Roman" w:hAnsi="Times New Roman"/>
          <w:sz w:val="24"/>
          <w:szCs w:val="24"/>
        </w:rPr>
        <w:t xml:space="preserve"> for brand 2 bottles. Life cycle GWP impacts for the </w:t>
      </w:r>
      <w:r w:rsidR="00ED085E">
        <w:rPr>
          <w:rFonts w:ascii="Times New Roman" w:hAnsi="Times New Roman"/>
          <w:sz w:val="24"/>
          <w:szCs w:val="24"/>
        </w:rPr>
        <w:t>b</w:t>
      </w:r>
      <w:r w:rsidRPr="00301629">
        <w:rPr>
          <w:rFonts w:ascii="Times New Roman" w:hAnsi="Times New Roman"/>
          <w:sz w:val="24"/>
          <w:szCs w:val="24"/>
        </w:rPr>
        <w:t xml:space="preserve">rand 1 system </w:t>
      </w:r>
      <w:r w:rsidR="00ED085E">
        <w:rPr>
          <w:rFonts w:ascii="Times New Roman" w:hAnsi="Times New Roman"/>
          <w:sz w:val="24"/>
          <w:szCs w:val="24"/>
        </w:rPr>
        <w:t>we</w:t>
      </w:r>
      <w:r w:rsidRPr="00301629">
        <w:rPr>
          <w:rFonts w:ascii="Times New Roman" w:hAnsi="Times New Roman"/>
          <w:sz w:val="24"/>
          <w:szCs w:val="24"/>
        </w:rPr>
        <w:t>re 18 kg</w:t>
      </w:r>
      <w:r w:rsidR="00ED085E">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ED085E">
        <w:rPr>
          <w:rFonts w:ascii="Times New Roman" w:hAnsi="Times New Roman"/>
          <w:sz w:val="24"/>
          <w:szCs w:val="24"/>
          <w:vertAlign w:val="subscript"/>
        </w:rPr>
        <w:t xml:space="preserve"> </w:t>
      </w:r>
      <w:r w:rsidRPr="00301629">
        <w:rPr>
          <w:rFonts w:ascii="Times New Roman" w:hAnsi="Times New Roman"/>
          <w:sz w:val="24"/>
          <w:szCs w:val="24"/>
        </w:rPr>
        <w:t>e</w:t>
      </w:r>
      <w:r w:rsidR="00ED085E">
        <w:rPr>
          <w:rFonts w:ascii="Times New Roman" w:hAnsi="Times New Roman"/>
          <w:sz w:val="24"/>
          <w:szCs w:val="24"/>
        </w:rPr>
        <w:t>q</w:t>
      </w:r>
      <w:r w:rsidRPr="00301629">
        <w:rPr>
          <w:rFonts w:ascii="Times New Roman" w:hAnsi="Times New Roman"/>
          <w:sz w:val="24"/>
          <w:szCs w:val="24"/>
        </w:rPr>
        <w:t xml:space="preserve"> for electricity and 9.6 kg</w:t>
      </w:r>
      <w:r w:rsidR="00ED085E">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ED085E">
        <w:rPr>
          <w:rFonts w:ascii="Times New Roman" w:hAnsi="Times New Roman"/>
          <w:sz w:val="24"/>
          <w:szCs w:val="24"/>
          <w:vertAlign w:val="subscript"/>
        </w:rPr>
        <w:t xml:space="preserve"> </w:t>
      </w:r>
      <w:r w:rsidRPr="00301629">
        <w:rPr>
          <w:rFonts w:ascii="Times New Roman" w:hAnsi="Times New Roman"/>
          <w:sz w:val="24"/>
          <w:szCs w:val="24"/>
        </w:rPr>
        <w:t>e</w:t>
      </w:r>
      <w:r w:rsidR="00ED085E">
        <w:rPr>
          <w:rFonts w:ascii="Times New Roman" w:hAnsi="Times New Roman"/>
          <w:sz w:val="24"/>
          <w:szCs w:val="24"/>
        </w:rPr>
        <w:t>q</w:t>
      </w:r>
      <w:r w:rsidRPr="00301629">
        <w:rPr>
          <w:rFonts w:ascii="Times New Roman" w:hAnsi="Times New Roman"/>
          <w:sz w:val="24"/>
          <w:szCs w:val="24"/>
        </w:rPr>
        <w:t xml:space="preserve"> for natural gas. In contrast, life cycle GWP impacts of </w:t>
      </w:r>
      <w:r w:rsidR="00473121">
        <w:rPr>
          <w:rFonts w:ascii="Times New Roman" w:hAnsi="Times New Roman"/>
          <w:sz w:val="24"/>
          <w:szCs w:val="24"/>
        </w:rPr>
        <w:t>b</w:t>
      </w:r>
      <w:r w:rsidRPr="00301629">
        <w:rPr>
          <w:rFonts w:ascii="Times New Roman" w:hAnsi="Times New Roman"/>
          <w:sz w:val="24"/>
          <w:szCs w:val="24"/>
        </w:rPr>
        <w:t xml:space="preserve">rand 2 </w:t>
      </w:r>
      <w:r w:rsidR="00ED085E">
        <w:rPr>
          <w:rFonts w:ascii="Times New Roman" w:hAnsi="Times New Roman"/>
          <w:sz w:val="24"/>
          <w:szCs w:val="24"/>
        </w:rPr>
        <w:t>we</w:t>
      </w:r>
      <w:r w:rsidRPr="00301629">
        <w:rPr>
          <w:rFonts w:ascii="Times New Roman" w:hAnsi="Times New Roman"/>
          <w:sz w:val="24"/>
          <w:szCs w:val="24"/>
        </w:rPr>
        <w:t>re 5.8 kg</w:t>
      </w:r>
      <w:r w:rsidR="00ED085E">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ED085E">
        <w:rPr>
          <w:rFonts w:ascii="Times New Roman" w:hAnsi="Times New Roman"/>
          <w:sz w:val="24"/>
          <w:szCs w:val="24"/>
          <w:vertAlign w:val="subscript"/>
        </w:rPr>
        <w:t xml:space="preserve"> </w:t>
      </w:r>
      <w:r w:rsidRPr="00301629">
        <w:rPr>
          <w:rFonts w:ascii="Times New Roman" w:hAnsi="Times New Roman"/>
          <w:sz w:val="24"/>
          <w:szCs w:val="24"/>
        </w:rPr>
        <w:t>e</w:t>
      </w:r>
      <w:r w:rsidR="00ED085E">
        <w:rPr>
          <w:rFonts w:ascii="Times New Roman" w:hAnsi="Times New Roman"/>
          <w:sz w:val="24"/>
          <w:szCs w:val="24"/>
        </w:rPr>
        <w:t>q</w:t>
      </w:r>
      <w:r w:rsidRPr="00301629">
        <w:rPr>
          <w:rFonts w:ascii="Times New Roman" w:hAnsi="Times New Roman"/>
          <w:sz w:val="24"/>
          <w:szCs w:val="24"/>
        </w:rPr>
        <w:t xml:space="preserve"> for electricity and 42 kg</w:t>
      </w:r>
      <w:r w:rsidR="00ED085E">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ED085E">
        <w:rPr>
          <w:rFonts w:ascii="Times New Roman" w:hAnsi="Times New Roman"/>
          <w:sz w:val="24"/>
          <w:szCs w:val="24"/>
          <w:vertAlign w:val="subscript"/>
        </w:rPr>
        <w:t xml:space="preserve"> </w:t>
      </w:r>
      <w:r w:rsidRPr="00301629">
        <w:rPr>
          <w:rFonts w:ascii="Times New Roman" w:hAnsi="Times New Roman"/>
          <w:sz w:val="24"/>
          <w:szCs w:val="24"/>
        </w:rPr>
        <w:t>e</w:t>
      </w:r>
      <w:r w:rsidR="00ED085E">
        <w:rPr>
          <w:rFonts w:ascii="Times New Roman" w:hAnsi="Times New Roman"/>
          <w:sz w:val="24"/>
          <w:szCs w:val="24"/>
        </w:rPr>
        <w:t>q</w:t>
      </w:r>
      <w:r w:rsidRPr="00301629">
        <w:rPr>
          <w:rFonts w:ascii="Times New Roman" w:hAnsi="Times New Roman"/>
          <w:sz w:val="24"/>
          <w:szCs w:val="24"/>
        </w:rPr>
        <w:t xml:space="preserve"> for natural gas. Regional transportation impacts from the bottling facility to a local supermarket also differ</w:t>
      </w:r>
      <w:r w:rsidR="00ED085E">
        <w:rPr>
          <w:rFonts w:ascii="Times New Roman" w:hAnsi="Times New Roman"/>
          <w:sz w:val="24"/>
          <w:szCs w:val="24"/>
        </w:rPr>
        <w:t>ed</w:t>
      </w:r>
      <w:r w:rsidRPr="00301629">
        <w:rPr>
          <w:rFonts w:ascii="Times New Roman" w:hAnsi="Times New Roman"/>
          <w:sz w:val="24"/>
          <w:szCs w:val="24"/>
        </w:rPr>
        <w:t xml:space="preserve"> between models, contributing 29 kg</w:t>
      </w:r>
      <w:r w:rsidR="00ED085E">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ED085E">
        <w:rPr>
          <w:rFonts w:ascii="Times New Roman" w:hAnsi="Times New Roman"/>
          <w:sz w:val="24"/>
          <w:szCs w:val="24"/>
          <w:vertAlign w:val="subscript"/>
        </w:rPr>
        <w:t xml:space="preserve"> </w:t>
      </w:r>
      <w:r w:rsidRPr="00301629">
        <w:rPr>
          <w:rFonts w:ascii="Times New Roman" w:hAnsi="Times New Roman"/>
          <w:sz w:val="24"/>
          <w:szCs w:val="24"/>
        </w:rPr>
        <w:t>e</w:t>
      </w:r>
      <w:r w:rsidR="00ED085E">
        <w:rPr>
          <w:rFonts w:ascii="Times New Roman" w:hAnsi="Times New Roman"/>
          <w:sz w:val="24"/>
          <w:szCs w:val="24"/>
        </w:rPr>
        <w:t>q</w:t>
      </w:r>
      <w:r w:rsidRPr="00301629">
        <w:rPr>
          <w:rFonts w:ascii="Times New Roman" w:hAnsi="Times New Roman"/>
          <w:sz w:val="24"/>
          <w:szCs w:val="24"/>
        </w:rPr>
        <w:t xml:space="preserve"> for </w:t>
      </w:r>
      <w:r w:rsidR="00ED085E">
        <w:rPr>
          <w:rFonts w:ascii="Times New Roman" w:hAnsi="Times New Roman"/>
          <w:sz w:val="24"/>
          <w:szCs w:val="24"/>
        </w:rPr>
        <w:t>b</w:t>
      </w:r>
      <w:r w:rsidRPr="00301629">
        <w:rPr>
          <w:rFonts w:ascii="Times New Roman" w:hAnsi="Times New Roman"/>
          <w:sz w:val="24"/>
          <w:szCs w:val="24"/>
        </w:rPr>
        <w:t>rand 1 and 80 kg</w:t>
      </w:r>
      <w:r w:rsidR="00ED085E">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ED085E">
        <w:rPr>
          <w:rFonts w:ascii="Times New Roman" w:hAnsi="Times New Roman"/>
          <w:sz w:val="24"/>
          <w:szCs w:val="24"/>
          <w:vertAlign w:val="subscript"/>
        </w:rPr>
        <w:t xml:space="preserve"> </w:t>
      </w:r>
      <w:r w:rsidRPr="00301629">
        <w:rPr>
          <w:rFonts w:ascii="Times New Roman" w:hAnsi="Times New Roman"/>
          <w:sz w:val="24"/>
          <w:szCs w:val="24"/>
        </w:rPr>
        <w:t>e</w:t>
      </w:r>
      <w:r w:rsidR="00ED085E">
        <w:rPr>
          <w:rFonts w:ascii="Times New Roman" w:hAnsi="Times New Roman"/>
          <w:sz w:val="24"/>
          <w:szCs w:val="24"/>
        </w:rPr>
        <w:t>q</w:t>
      </w:r>
      <w:r w:rsidRPr="00301629">
        <w:rPr>
          <w:rFonts w:ascii="Times New Roman" w:hAnsi="Times New Roman"/>
          <w:sz w:val="24"/>
          <w:szCs w:val="24"/>
        </w:rPr>
        <w:t xml:space="preserve"> for </w:t>
      </w:r>
      <w:r w:rsidR="00ED085E">
        <w:rPr>
          <w:rFonts w:ascii="Times New Roman" w:hAnsi="Times New Roman"/>
          <w:sz w:val="24"/>
          <w:szCs w:val="24"/>
        </w:rPr>
        <w:t>b</w:t>
      </w:r>
      <w:r w:rsidRPr="00301629">
        <w:rPr>
          <w:rFonts w:ascii="Times New Roman" w:hAnsi="Times New Roman"/>
          <w:sz w:val="24"/>
          <w:szCs w:val="24"/>
        </w:rPr>
        <w:t xml:space="preserve">rand 2. Life cycle human health impacts </w:t>
      </w:r>
      <w:r w:rsidR="00ED085E">
        <w:rPr>
          <w:rFonts w:ascii="Times New Roman" w:hAnsi="Times New Roman"/>
          <w:sz w:val="24"/>
          <w:szCs w:val="24"/>
        </w:rPr>
        <w:t>we</w:t>
      </w:r>
      <w:r w:rsidRPr="00301629">
        <w:rPr>
          <w:rFonts w:ascii="Times New Roman" w:hAnsi="Times New Roman"/>
          <w:sz w:val="24"/>
          <w:szCs w:val="24"/>
        </w:rPr>
        <w:t xml:space="preserve">re similar between both bottled water models (Table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1).</w:t>
      </w:r>
    </w:p>
    <w:p w14:paraId="70CC8017" w14:textId="373D0413" w:rsidR="00063A07" w:rsidRPr="00301629" w:rsidRDefault="00063A07" w:rsidP="00ED085E">
      <w:pPr>
        <w:spacing w:after="0" w:line="480" w:lineRule="auto"/>
        <w:ind w:firstLine="720"/>
        <w:rPr>
          <w:rFonts w:ascii="Times New Roman" w:hAnsi="Times New Roman"/>
          <w:sz w:val="24"/>
          <w:szCs w:val="24"/>
        </w:rPr>
      </w:pPr>
      <w:r w:rsidRPr="00301629">
        <w:rPr>
          <w:rFonts w:ascii="Times New Roman" w:hAnsi="Times New Roman"/>
          <w:sz w:val="24"/>
          <w:szCs w:val="24"/>
        </w:rPr>
        <w:t>Local distribution and consumer pick-up of bottles were modeled identically for both models. Local distribution contribute</w:t>
      </w:r>
      <w:r w:rsidR="000D2A06">
        <w:rPr>
          <w:rFonts w:ascii="Times New Roman" w:hAnsi="Times New Roman"/>
          <w:sz w:val="24"/>
          <w:szCs w:val="24"/>
        </w:rPr>
        <w:t>d</w:t>
      </w:r>
      <w:r w:rsidRPr="00301629">
        <w:rPr>
          <w:rFonts w:ascii="Times New Roman" w:hAnsi="Times New Roman"/>
          <w:sz w:val="24"/>
          <w:szCs w:val="24"/>
        </w:rPr>
        <w:t xml:space="preserve"> 0.6 kg</w:t>
      </w:r>
      <w:r w:rsidR="000D2A06">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0D2A06">
        <w:rPr>
          <w:rFonts w:ascii="Times New Roman" w:hAnsi="Times New Roman"/>
          <w:sz w:val="24"/>
          <w:szCs w:val="24"/>
          <w:vertAlign w:val="subscript"/>
        </w:rPr>
        <w:t xml:space="preserve"> </w:t>
      </w:r>
      <w:r w:rsidRPr="00301629">
        <w:rPr>
          <w:rFonts w:ascii="Times New Roman" w:hAnsi="Times New Roman"/>
          <w:sz w:val="24"/>
          <w:szCs w:val="24"/>
        </w:rPr>
        <w:t>e</w:t>
      </w:r>
      <w:r w:rsidR="000D2A06">
        <w:rPr>
          <w:rFonts w:ascii="Times New Roman" w:hAnsi="Times New Roman"/>
          <w:sz w:val="24"/>
          <w:szCs w:val="24"/>
        </w:rPr>
        <w:t>q</w:t>
      </w:r>
      <w:r w:rsidRPr="00301629">
        <w:rPr>
          <w:rFonts w:ascii="Times New Roman" w:hAnsi="Times New Roman"/>
          <w:sz w:val="24"/>
          <w:szCs w:val="24"/>
        </w:rPr>
        <w:t xml:space="preserve"> (0.6% and 0.4% of total GWP for </w:t>
      </w:r>
      <w:r w:rsidR="000D2A06">
        <w:rPr>
          <w:rFonts w:ascii="Times New Roman" w:hAnsi="Times New Roman"/>
          <w:sz w:val="24"/>
          <w:szCs w:val="24"/>
        </w:rPr>
        <w:t>b</w:t>
      </w:r>
      <w:r w:rsidRPr="00301629">
        <w:rPr>
          <w:rFonts w:ascii="Times New Roman" w:hAnsi="Times New Roman"/>
          <w:sz w:val="24"/>
          <w:szCs w:val="24"/>
        </w:rPr>
        <w:t>rands 1 and 2, respectively), 0.2% – 0.4% of total human health impacts, and 0.2% – 0.3% of total ecotoxicity. Pick-up of bottled water by consumers from a local distribution site contribute</w:t>
      </w:r>
      <w:r w:rsidR="000D2A06">
        <w:rPr>
          <w:rFonts w:ascii="Times New Roman" w:hAnsi="Times New Roman"/>
          <w:sz w:val="24"/>
          <w:szCs w:val="24"/>
        </w:rPr>
        <w:t>d</w:t>
      </w:r>
      <w:r w:rsidRPr="00301629">
        <w:rPr>
          <w:rFonts w:ascii="Times New Roman" w:hAnsi="Times New Roman"/>
          <w:sz w:val="24"/>
          <w:szCs w:val="24"/>
        </w:rPr>
        <w:t xml:space="preserve"> 5.3 kg</w:t>
      </w:r>
      <w:r w:rsidR="000D2A06">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0D2A06">
        <w:rPr>
          <w:rFonts w:ascii="Times New Roman" w:hAnsi="Times New Roman"/>
          <w:sz w:val="24"/>
          <w:szCs w:val="24"/>
          <w:vertAlign w:val="subscript"/>
        </w:rPr>
        <w:t xml:space="preserve"> </w:t>
      </w:r>
      <w:r w:rsidRPr="00301629">
        <w:rPr>
          <w:rFonts w:ascii="Times New Roman" w:hAnsi="Times New Roman"/>
          <w:sz w:val="24"/>
          <w:szCs w:val="24"/>
        </w:rPr>
        <w:t>e</w:t>
      </w:r>
      <w:r w:rsidR="000D2A06">
        <w:rPr>
          <w:rFonts w:ascii="Times New Roman" w:hAnsi="Times New Roman"/>
          <w:sz w:val="24"/>
          <w:szCs w:val="24"/>
        </w:rPr>
        <w:t>q</w:t>
      </w:r>
      <w:r w:rsidRPr="00301629">
        <w:rPr>
          <w:rFonts w:ascii="Times New Roman" w:hAnsi="Times New Roman"/>
          <w:sz w:val="24"/>
          <w:szCs w:val="24"/>
        </w:rPr>
        <w:t xml:space="preserve"> (4% and 2% of total GWP for </w:t>
      </w:r>
      <w:r w:rsidR="000D2A06">
        <w:rPr>
          <w:rFonts w:ascii="Times New Roman" w:hAnsi="Times New Roman"/>
          <w:sz w:val="24"/>
          <w:szCs w:val="24"/>
        </w:rPr>
        <w:t>b</w:t>
      </w:r>
      <w:r w:rsidRPr="00301629">
        <w:rPr>
          <w:rFonts w:ascii="Times New Roman" w:hAnsi="Times New Roman"/>
          <w:sz w:val="24"/>
          <w:szCs w:val="24"/>
        </w:rPr>
        <w:t>rands 1 and 2, respectively), 1% – 2% of total human health impacts, and 1% – 2% of total ecotoxicity.</w:t>
      </w:r>
    </w:p>
    <w:p w14:paraId="69D663C3" w14:textId="7F3D6F09" w:rsidR="00063A07" w:rsidRPr="00301629" w:rsidRDefault="00063A07" w:rsidP="000D2A06">
      <w:pPr>
        <w:spacing w:after="0" w:line="480" w:lineRule="auto"/>
        <w:ind w:firstLine="720"/>
        <w:rPr>
          <w:rFonts w:ascii="Times New Roman" w:hAnsi="Times New Roman"/>
          <w:sz w:val="24"/>
          <w:szCs w:val="24"/>
        </w:rPr>
      </w:pPr>
      <w:r w:rsidRPr="00301629">
        <w:rPr>
          <w:rFonts w:ascii="Times New Roman" w:hAnsi="Times New Roman"/>
          <w:sz w:val="24"/>
          <w:szCs w:val="24"/>
        </w:rPr>
        <w:lastRenderedPageBreak/>
        <w:t>Stochastic simulation of bottled water production and delivery provide</w:t>
      </w:r>
      <w:r w:rsidR="0006628C">
        <w:rPr>
          <w:rFonts w:ascii="Times New Roman" w:hAnsi="Times New Roman"/>
          <w:sz w:val="24"/>
          <w:szCs w:val="24"/>
        </w:rPr>
        <w:t>d</w:t>
      </w:r>
      <w:r w:rsidRPr="00301629">
        <w:rPr>
          <w:rFonts w:ascii="Times New Roman" w:hAnsi="Times New Roman"/>
          <w:sz w:val="24"/>
          <w:szCs w:val="24"/>
        </w:rPr>
        <w:t xml:space="preserve"> expected values </w:t>
      </w:r>
      <w:proofErr w:type="gramStart"/>
      <w:r w:rsidRPr="00301629">
        <w:rPr>
          <w:rFonts w:ascii="Times New Roman" w:hAnsi="Times New Roman"/>
          <w:sz w:val="24"/>
          <w:szCs w:val="24"/>
        </w:rPr>
        <w:t>similar to</w:t>
      </w:r>
      <w:proofErr w:type="gramEnd"/>
      <w:r w:rsidRPr="00301629">
        <w:rPr>
          <w:rFonts w:ascii="Times New Roman" w:hAnsi="Times New Roman"/>
          <w:sz w:val="24"/>
          <w:szCs w:val="24"/>
        </w:rPr>
        <w:t xml:space="preserve"> </w:t>
      </w:r>
      <w:r w:rsidR="000D40E9" w:rsidRPr="00301629">
        <w:rPr>
          <w:rFonts w:ascii="Times New Roman" w:hAnsi="Times New Roman"/>
          <w:sz w:val="24"/>
          <w:szCs w:val="24"/>
        </w:rPr>
        <w:t>deterministic</w:t>
      </w:r>
      <w:r w:rsidRPr="00301629">
        <w:rPr>
          <w:rFonts w:ascii="Times New Roman" w:hAnsi="Times New Roman"/>
          <w:sz w:val="24"/>
          <w:szCs w:val="24"/>
        </w:rPr>
        <w:t xml:space="preserve"> results for climate change and human toxicity impact factors with median climate change, human health, and ecotoxicity impacts within 20% of </w:t>
      </w:r>
      <w:r w:rsidR="000D40E9" w:rsidRPr="00301629">
        <w:rPr>
          <w:rFonts w:ascii="Times New Roman" w:hAnsi="Times New Roman"/>
          <w:sz w:val="24"/>
          <w:szCs w:val="24"/>
        </w:rPr>
        <w:t>deterministic</w:t>
      </w:r>
      <w:r w:rsidRPr="00301629">
        <w:rPr>
          <w:rFonts w:ascii="Times New Roman" w:hAnsi="Times New Roman"/>
          <w:sz w:val="24"/>
          <w:szCs w:val="24"/>
        </w:rPr>
        <w:t xml:space="preserve"> values. </w:t>
      </w:r>
      <w:r w:rsidR="0006628C">
        <w:rPr>
          <w:rFonts w:ascii="Times New Roman" w:hAnsi="Times New Roman"/>
          <w:sz w:val="24"/>
          <w:szCs w:val="24"/>
        </w:rPr>
        <w:t>Ninety-five percent</w:t>
      </w:r>
      <w:r w:rsidRPr="00301629">
        <w:rPr>
          <w:rFonts w:ascii="Times New Roman" w:hAnsi="Times New Roman"/>
          <w:sz w:val="24"/>
          <w:szCs w:val="24"/>
        </w:rPr>
        <w:t xml:space="preserve"> confidence intervals for climate change impacts range</w:t>
      </w:r>
      <w:r w:rsidR="0006628C">
        <w:rPr>
          <w:rFonts w:ascii="Times New Roman" w:hAnsi="Times New Roman"/>
          <w:sz w:val="24"/>
          <w:szCs w:val="24"/>
        </w:rPr>
        <w:t>d</w:t>
      </w:r>
      <w:r w:rsidRPr="00301629">
        <w:rPr>
          <w:rFonts w:ascii="Times New Roman" w:hAnsi="Times New Roman"/>
          <w:sz w:val="24"/>
          <w:szCs w:val="24"/>
        </w:rPr>
        <w:t xml:space="preserve"> from 110 – 170 and 190 – 310 kg</w:t>
      </w:r>
      <w:r w:rsidR="0006628C">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06628C">
        <w:rPr>
          <w:rFonts w:ascii="Times New Roman" w:hAnsi="Times New Roman"/>
          <w:sz w:val="24"/>
          <w:szCs w:val="24"/>
          <w:vertAlign w:val="subscript"/>
        </w:rPr>
        <w:t xml:space="preserve"> </w:t>
      </w:r>
      <w:r w:rsidRPr="00301629">
        <w:rPr>
          <w:rFonts w:ascii="Times New Roman" w:hAnsi="Times New Roman"/>
          <w:sz w:val="24"/>
          <w:szCs w:val="24"/>
        </w:rPr>
        <w:t>e</w:t>
      </w:r>
      <w:r w:rsidR="0006628C">
        <w:rPr>
          <w:rFonts w:ascii="Times New Roman" w:hAnsi="Times New Roman"/>
          <w:sz w:val="24"/>
          <w:szCs w:val="24"/>
        </w:rPr>
        <w:t>q</w:t>
      </w:r>
      <w:r w:rsidRPr="00301629">
        <w:rPr>
          <w:rFonts w:ascii="Times New Roman" w:hAnsi="Times New Roman"/>
          <w:sz w:val="24"/>
          <w:szCs w:val="24"/>
        </w:rPr>
        <w:t xml:space="preserve"> with local distribution to 130 – 230 and 210 – 360 kg</w:t>
      </w:r>
      <w:r w:rsidR="0006628C">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06628C">
        <w:rPr>
          <w:rFonts w:ascii="Times New Roman" w:hAnsi="Times New Roman"/>
          <w:sz w:val="24"/>
          <w:szCs w:val="24"/>
          <w:vertAlign w:val="subscript"/>
        </w:rPr>
        <w:t xml:space="preserve"> </w:t>
      </w:r>
      <w:r w:rsidRPr="00301629">
        <w:rPr>
          <w:rFonts w:ascii="Times New Roman" w:hAnsi="Times New Roman"/>
          <w:sz w:val="24"/>
          <w:szCs w:val="24"/>
        </w:rPr>
        <w:t>e</w:t>
      </w:r>
      <w:r w:rsidR="0006628C">
        <w:rPr>
          <w:rFonts w:ascii="Times New Roman" w:hAnsi="Times New Roman"/>
          <w:sz w:val="24"/>
          <w:szCs w:val="24"/>
        </w:rPr>
        <w:t>q</w:t>
      </w:r>
      <w:r w:rsidRPr="00301629">
        <w:rPr>
          <w:rFonts w:ascii="Times New Roman" w:hAnsi="Times New Roman"/>
          <w:sz w:val="24"/>
          <w:szCs w:val="24"/>
        </w:rPr>
        <w:t xml:space="preserve"> with local distribution and consumer pick-up (</w:t>
      </w:r>
      <w:r w:rsidR="0006628C">
        <w:rPr>
          <w:rFonts w:ascii="Times New Roman" w:hAnsi="Times New Roman"/>
          <w:sz w:val="24"/>
          <w:szCs w:val="24"/>
        </w:rPr>
        <w:t>b</w:t>
      </w:r>
      <w:r w:rsidRPr="00301629">
        <w:rPr>
          <w:rFonts w:ascii="Times New Roman" w:hAnsi="Times New Roman"/>
          <w:sz w:val="24"/>
          <w:szCs w:val="24"/>
        </w:rPr>
        <w:t xml:space="preserve">rands 1 and 2, respectively)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 xml:space="preserve">2B). Life cycle human health impacts </w:t>
      </w:r>
      <w:r w:rsidR="0006628C">
        <w:rPr>
          <w:rFonts w:ascii="Times New Roman" w:hAnsi="Times New Roman"/>
          <w:sz w:val="24"/>
          <w:szCs w:val="24"/>
        </w:rPr>
        <w:t>we</w:t>
      </w:r>
      <w:r w:rsidRPr="00301629">
        <w:rPr>
          <w:rFonts w:ascii="Times New Roman" w:hAnsi="Times New Roman"/>
          <w:sz w:val="24"/>
          <w:szCs w:val="24"/>
        </w:rPr>
        <w:t xml:space="preserve">re similar across brands and delivery scenarios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3B).</w:t>
      </w:r>
      <w:r w:rsidR="00705376" w:rsidRPr="00301629">
        <w:rPr>
          <w:rFonts w:ascii="Times New Roman" w:hAnsi="Times New Roman"/>
          <w:sz w:val="24"/>
          <w:szCs w:val="24"/>
        </w:rPr>
        <w:t xml:space="preserve"> </w:t>
      </w:r>
      <w:r w:rsidR="00242A70" w:rsidRPr="00301629">
        <w:rPr>
          <w:rFonts w:ascii="Times New Roman" w:hAnsi="Times New Roman"/>
          <w:sz w:val="24"/>
          <w:szCs w:val="24"/>
        </w:rPr>
        <w:t xml:space="preserve">Stochastic assessment of the difference between bottled water brands provide evidence for higher human health impacts in the </w:t>
      </w:r>
      <w:r w:rsidR="0006628C">
        <w:rPr>
          <w:rFonts w:ascii="Times New Roman" w:hAnsi="Times New Roman"/>
          <w:sz w:val="24"/>
          <w:szCs w:val="24"/>
        </w:rPr>
        <w:t>b</w:t>
      </w:r>
      <w:r w:rsidR="00242A70" w:rsidRPr="00301629">
        <w:rPr>
          <w:rFonts w:ascii="Times New Roman" w:hAnsi="Times New Roman"/>
          <w:sz w:val="24"/>
          <w:szCs w:val="24"/>
        </w:rPr>
        <w:t>rand 2 system, though not at 95% confidence.</w:t>
      </w:r>
    </w:p>
    <w:p w14:paraId="60BE2DF1" w14:textId="77777777" w:rsidR="00063A07" w:rsidRPr="00301629" w:rsidRDefault="00063A07" w:rsidP="00301629">
      <w:pPr>
        <w:spacing w:after="0" w:line="480" w:lineRule="auto"/>
        <w:rPr>
          <w:rFonts w:ascii="Times New Roman" w:hAnsi="Times New Roman"/>
          <w:sz w:val="24"/>
          <w:szCs w:val="24"/>
        </w:rPr>
      </w:pPr>
    </w:p>
    <w:p w14:paraId="7AF56B49" w14:textId="50695BB1" w:rsidR="00063A07" w:rsidRPr="0021315D" w:rsidRDefault="0021315D" w:rsidP="005D267F">
      <w:pPr>
        <w:pStyle w:val="Heading3"/>
        <w:numPr>
          <w:ilvl w:val="1"/>
          <w:numId w:val="4"/>
        </w:numPr>
        <w:spacing w:before="0" w:line="480" w:lineRule="auto"/>
        <w:rPr>
          <w:rFonts w:ascii="Times New Roman" w:hAnsi="Times New Roman"/>
          <w:b/>
          <w:bCs/>
          <w:color w:val="auto"/>
        </w:rPr>
      </w:pPr>
      <w:r>
        <w:rPr>
          <w:rFonts w:ascii="Times New Roman" w:hAnsi="Times New Roman"/>
          <w:b/>
          <w:bCs/>
          <w:color w:val="auto"/>
        </w:rPr>
        <w:t xml:space="preserve"> </w:t>
      </w:r>
      <w:r w:rsidR="00063A07" w:rsidRPr="0021315D">
        <w:rPr>
          <w:rFonts w:ascii="Times New Roman" w:hAnsi="Times New Roman"/>
          <w:b/>
          <w:bCs/>
          <w:color w:val="auto"/>
        </w:rPr>
        <w:t>Scenario results</w:t>
      </w:r>
    </w:p>
    <w:p w14:paraId="3421CF93" w14:textId="19C37EAC" w:rsidR="00063A07" w:rsidRDefault="00063A07" w:rsidP="0021315D">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Over the 20-year lifetime of a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system, life cycle climate change impacts may range from 6000 – 14,000 t</w:t>
      </w:r>
      <w:r w:rsidR="00BB15E9">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BB15E9">
        <w:rPr>
          <w:rFonts w:ascii="Times New Roman" w:hAnsi="Times New Roman"/>
          <w:sz w:val="24"/>
          <w:szCs w:val="24"/>
          <w:vertAlign w:val="subscript"/>
        </w:rPr>
        <w:t xml:space="preserve"> </w:t>
      </w:r>
      <w:r w:rsidRPr="00301629">
        <w:rPr>
          <w:rFonts w:ascii="Times New Roman" w:hAnsi="Times New Roman"/>
          <w:sz w:val="24"/>
          <w:szCs w:val="24"/>
        </w:rPr>
        <w:t>e</w:t>
      </w:r>
      <w:r w:rsidR="00BB15E9">
        <w:rPr>
          <w:rFonts w:ascii="Times New Roman" w:hAnsi="Times New Roman"/>
          <w:sz w:val="24"/>
          <w:szCs w:val="24"/>
        </w:rPr>
        <w:t>q</w:t>
      </w:r>
      <w:r w:rsidRPr="00301629">
        <w:rPr>
          <w:rFonts w:ascii="Times New Roman" w:hAnsi="Times New Roman"/>
          <w:sz w:val="24"/>
          <w:szCs w:val="24"/>
        </w:rPr>
        <w:t xml:space="preserve"> at 0.7 µg/L PFAS, using GAC or IEX-based </w:t>
      </w:r>
      <w:r w:rsidR="002D549E" w:rsidRPr="00301629">
        <w:rPr>
          <w:rFonts w:ascii="Times New Roman" w:hAnsi="Times New Roman"/>
          <w:sz w:val="24"/>
          <w:szCs w:val="24"/>
        </w:rPr>
        <w:t>treatment</w:t>
      </w:r>
      <w:r w:rsidRPr="00301629">
        <w:rPr>
          <w:rFonts w:ascii="Times New Roman" w:hAnsi="Times New Roman"/>
          <w:sz w:val="24"/>
          <w:szCs w:val="24"/>
        </w:rPr>
        <w:t xml:space="preserve"> methods. At higher contaminant concentrations, we estimate median lifetime system climate change impacts of 21,000 or 130,000 t</w:t>
      </w:r>
      <w:r w:rsidR="00BB15E9">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BB15E9">
        <w:rPr>
          <w:rFonts w:ascii="Times New Roman" w:hAnsi="Times New Roman"/>
          <w:sz w:val="24"/>
          <w:szCs w:val="24"/>
          <w:vertAlign w:val="subscript"/>
        </w:rPr>
        <w:t xml:space="preserve"> </w:t>
      </w:r>
      <w:r w:rsidRPr="00301629">
        <w:rPr>
          <w:rFonts w:ascii="Times New Roman" w:hAnsi="Times New Roman"/>
          <w:sz w:val="24"/>
          <w:szCs w:val="24"/>
        </w:rPr>
        <w:t>e</w:t>
      </w:r>
      <w:r w:rsidR="00BB15E9">
        <w:rPr>
          <w:rFonts w:ascii="Times New Roman" w:hAnsi="Times New Roman"/>
          <w:sz w:val="24"/>
          <w:szCs w:val="24"/>
        </w:rPr>
        <w:t>q</w:t>
      </w:r>
      <w:r w:rsidRPr="00301629">
        <w:rPr>
          <w:rFonts w:ascii="Times New Roman" w:hAnsi="Times New Roman"/>
          <w:sz w:val="24"/>
          <w:szCs w:val="24"/>
        </w:rPr>
        <w:t xml:space="preserve"> (GAC) and 14,000 or 62,000 t</w:t>
      </w:r>
      <w:r w:rsidR="00BB15E9">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BB15E9">
        <w:rPr>
          <w:rFonts w:ascii="Times New Roman" w:hAnsi="Times New Roman"/>
          <w:sz w:val="24"/>
          <w:szCs w:val="24"/>
          <w:vertAlign w:val="subscript"/>
        </w:rPr>
        <w:t xml:space="preserve"> </w:t>
      </w:r>
      <w:r w:rsidRPr="00301629">
        <w:rPr>
          <w:rFonts w:ascii="Times New Roman" w:hAnsi="Times New Roman"/>
          <w:sz w:val="24"/>
          <w:szCs w:val="24"/>
        </w:rPr>
        <w:t>e</w:t>
      </w:r>
      <w:r w:rsidR="00BB15E9">
        <w:rPr>
          <w:rFonts w:ascii="Times New Roman" w:hAnsi="Times New Roman"/>
          <w:sz w:val="24"/>
          <w:szCs w:val="24"/>
        </w:rPr>
        <w:t>q</w:t>
      </w:r>
      <w:r w:rsidRPr="00301629">
        <w:rPr>
          <w:rFonts w:ascii="Times New Roman" w:hAnsi="Times New Roman"/>
          <w:sz w:val="24"/>
          <w:szCs w:val="24"/>
        </w:rPr>
        <w:t xml:space="preserve"> (IEX) treating 7.0 or 70 µg/L PFAS, respectively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4A). Supplying bottled drinking water as a supplement to PFAS-contaminated drinking water</w:t>
      </w:r>
      <w:r w:rsidR="00BB15E9">
        <w:rPr>
          <w:rFonts w:ascii="Times New Roman" w:hAnsi="Times New Roman"/>
          <w:sz w:val="24"/>
          <w:szCs w:val="24"/>
        </w:rPr>
        <w:t>,</w:t>
      </w:r>
      <w:r w:rsidRPr="00301629">
        <w:rPr>
          <w:rFonts w:ascii="Times New Roman" w:hAnsi="Times New Roman"/>
          <w:sz w:val="24"/>
          <w:szCs w:val="24"/>
        </w:rPr>
        <w:t xml:space="preserve"> in lieu of a </w:t>
      </w:r>
      <w:r w:rsidR="002D549E" w:rsidRPr="00301629">
        <w:rPr>
          <w:rFonts w:ascii="Times New Roman" w:hAnsi="Times New Roman"/>
          <w:sz w:val="24"/>
          <w:szCs w:val="24"/>
        </w:rPr>
        <w:t>treatment</w:t>
      </w:r>
      <w:r w:rsidRPr="00301629">
        <w:rPr>
          <w:rFonts w:ascii="Times New Roman" w:hAnsi="Times New Roman"/>
          <w:sz w:val="24"/>
          <w:szCs w:val="24"/>
        </w:rPr>
        <w:t xml:space="preserve"> system, result</w:t>
      </w:r>
      <w:r w:rsidR="00BB15E9">
        <w:rPr>
          <w:rFonts w:ascii="Times New Roman" w:hAnsi="Times New Roman"/>
          <w:sz w:val="24"/>
          <w:szCs w:val="24"/>
        </w:rPr>
        <w:t>ed</w:t>
      </w:r>
      <w:r w:rsidRPr="00301629">
        <w:rPr>
          <w:rFonts w:ascii="Times New Roman" w:hAnsi="Times New Roman"/>
          <w:sz w:val="24"/>
          <w:szCs w:val="24"/>
        </w:rPr>
        <w:t xml:space="preserve"> in 270 – 420 t</w:t>
      </w:r>
      <w:r w:rsidR="00BB15E9">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BB15E9">
        <w:rPr>
          <w:rFonts w:ascii="Times New Roman" w:hAnsi="Times New Roman"/>
          <w:sz w:val="24"/>
          <w:szCs w:val="24"/>
          <w:vertAlign w:val="subscript"/>
        </w:rPr>
        <w:t xml:space="preserve"> </w:t>
      </w:r>
      <w:r w:rsidRPr="00301629">
        <w:rPr>
          <w:rFonts w:ascii="Times New Roman" w:hAnsi="Times New Roman"/>
          <w:sz w:val="24"/>
          <w:szCs w:val="24"/>
        </w:rPr>
        <w:t>eq (</w:t>
      </w:r>
      <w:r w:rsidR="00BB15E9">
        <w:rPr>
          <w:rFonts w:ascii="Times New Roman" w:hAnsi="Times New Roman"/>
          <w:sz w:val="24"/>
          <w:szCs w:val="24"/>
        </w:rPr>
        <w:t>b</w:t>
      </w:r>
      <w:r w:rsidRPr="00301629">
        <w:rPr>
          <w:rFonts w:ascii="Times New Roman" w:hAnsi="Times New Roman"/>
          <w:sz w:val="24"/>
          <w:szCs w:val="24"/>
        </w:rPr>
        <w:t>rand 1) or 810 – 1100 t</w:t>
      </w:r>
      <w:r w:rsidR="00BB15E9">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BB15E9">
        <w:rPr>
          <w:rFonts w:ascii="Times New Roman" w:hAnsi="Times New Roman"/>
          <w:sz w:val="24"/>
          <w:szCs w:val="24"/>
          <w:vertAlign w:val="subscript"/>
        </w:rPr>
        <w:t xml:space="preserve"> </w:t>
      </w:r>
      <w:r w:rsidRPr="00301629">
        <w:rPr>
          <w:rFonts w:ascii="Times New Roman" w:hAnsi="Times New Roman"/>
          <w:sz w:val="24"/>
          <w:szCs w:val="24"/>
        </w:rPr>
        <w:t>eq (</w:t>
      </w:r>
      <w:r w:rsidR="00BB15E9">
        <w:rPr>
          <w:rFonts w:ascii="Times New Roman" w:hAnsi="Times New Roman"/>
          <w:sz w:val="24"/>
          <w:szCs w:val="24"/>
        </w:rPr>
        <w:t>b</w:t>
      </w:r>
      <w:r w:rsidRPr="00301629">
        <w:rPr>
          <w:rFonts w:ascii="Times New Roman" w:hAnsi="Times New Roman"/>
          <w:sz w:val="24"/>
          <w:szCs w:val="24"/>
        </w:rPr>
        <w:t xml:space="preserve">rand 2) when bottled water </w:t>
      </w:r>
      <w:r w:rsidR="00BB15E9">
        <w:rPr>
          <w:rFonts w:ascii="Times New Roman" w:hAnsi="Times New Roman"/>
          <w:sz w:val="24"/>
          <w:szCs w:val="24"/>
        </w:rPr>
        <w:t>wa</w:t>
      </w:r>
      <w:r w:rsidRPr="00301629">
        <w:rPr>
          <w:rFonts w:ascii="Times New Roman" w:hAnsi="Times New Roman"/>
          <w:sz w:val="24"/>
          <w:szCs w:val="24"/>
        </w:rPr>
        <w:t xml:space="preserve">s supplied only to the sensitive fraction of permanent residents on-site. When bottled water </w:t>
      </w:r>
      <w:r w:rsidR="00BB15E9">
        <w:rPr>
          <w:rFonts w:ascii="Times New Roman" w:hAnsi="Times New Roman"/>
          <w:sz w:val="24"/>
          <w:szCs w:val="24"/>
        </w:rPr>
        <w:t>wa</w:t>
      </w:r>
      <w:r w:rsidRPr="00301629">
        <w:rPr>
          <w:rFonts w:ascii="Times New Roman" w:hAnsi="Times New Roman"/>
          <w:sz w:val="24"/>
          <w:szCs w:val="24"/>
        </w:rPr>
        <w:t xml:space="preserve">s supplied to all residents </w:t>
      </w:r>
      <w:proofErr w:type="gramStart"/>
      <w:r w:rsidRPr="00301629">
        <w:rPr>
          <w:rFonts w:ascii="Times New Roman" w:hAnsi="Times New Roman"/>
          <w:sz w:val="24"/>
          <w:szCs w:val="24"/>
        </w:rPr>
        <w:t>and also</w:t>
      </w:r>
      <w:proofErr w:type="gramEnd"/>
      <w:r w:rsidRPr="00301629">
        <w:rPr>
          <w:rFonts w:ascii="Times New Roman" w:hAnsi="Times New Roman"/>
          <w:sz w:val="24"/>
          <w:szCs w:val="24"/>
        </w:rPr>
        <w:t xml:space="preserve"> to the sensitive fraction of non-residents, we estimate</w:t>
      </w:r>
      <w:r w:rsidR="00BB15E9">
        <w:rPr>
          <w:rFonts w:ascii="Times New Roman" w:hAnsi="Times New Roman"/>
          <w:sz w:val="24"/>
          <w:szCs w:val="24"/>
        </w:rPr>
        <w:t>d</w:t>
      </w:r>
      <w:r w:rsidRPr="00301629">
        <w:rPr>
          <w:rFonts w:ascii="Times New Roman" w:hAnsi="Times New Roman"/>
          <w:sz w:val="24"/>
          <w:szCs w:val="24"/>
        </w:rPr>
        <w:t xml:space="preserve"> climate change impacts of 8100-14,000 t</w:t>
      </w:r>
      <w:r w:rsidR="00BB15E9">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BB15E9">
        <w:rPr>
          <w:rFonts w:ascii="Times New Roman" w:hAnsi="Times New Roman"/>
          <w:sz w:val="24"/>
          <w:szCs w:val="24"/>
          <w:vertAlign w:val="subscript"/>
        </w:rPr>
        <w:t xml:space="preserve"> </w:t>
      </w:r>
      <w:r w:rsidRPr="00301629">
        <w:rPr>
          <w:rFonts w:ascii="Times New Roman" w:hAnsi="Times New Roman"/>
          <w:sz w:val="24"/>
          <w:szCs w:val="24"/>
        </w:rPr>
        <w:t>e</w:t>
      </w:r>
      <w:r w:rsidR="00BB15E9">
        <w:rPr>
          <w:rFonts w:ascii="Times New Roman" w:hAnsi="Times New Roman"/>
          <w:sz w:val="24"/>
          <w:szCs w:val="24"/>
        </w:rPr>
        <w:t>q</w:t>
      </w:r>
      <w:r w:rsidRPr="00301629">
        <w:rPr>
          <w:rFonts w:ascii="Times New Roman" w:hAnsi="Times New Roman"/>
          <w:sz w:val="24"/>
          <w:szCs w:val="24"/>
        </w:rPr>
        <w:t xml:space="preserve"> (</w:t>
      </w:r>
      <w:r w:rsidR="00BB15E9">
        <w:rPr>
          <w:rFonts w:ascii="Times New Roman" w:hAnsi="Times New Roman"/>
          <w:sz w:val="24"/>
          <w:szCs w:val="24"/>
        </w:rPr>
        <w:t>b</w:t>
      </w:r>
      <w:r w:rsidRPr="00301629">
        <w:rPr>
          <w:rFonts w:ascii="Times New Roman" w:hAnsi="Times New Roman"/>
          <w:sz w:val="24"/>
          <w:szCs w:val="24"/>
        </w:rPr>
        <w:t>rand 1) or 23,000-33,000 t</w:t>
      </w:r>
      <w:r w:rsidR="00BB15E9">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BB15E9">
        <w:rPr>
          <w:rFonts w:ascii="Times New Roman" w:hAnsi="Times New Roman"/>
          <w:sz w:val="24"/>
          <w:szCs w:val="24"/>
          <w:vertAlign w:val="subscript"/>
        </w:rPr>
        <w:t xml:space="preserve"> </w:t>
      </w:r>
      <w:r w:rsidRPr="00301629">
        <w:rPr>
          <w:rFonts w:ascii="Times New Roman" w:hAnsi="Times New Roman"/>
          <w:sz w:val="24"/>
          <w:szCs w:val="24"/>
        </w:rPr>
        <w:t>e</w:t>
      </w:r>
      <w:r w:rsidR="00BB15E9">
        <w:rPr>
          <w:rFonts w:ascii="Times New Roman" w:hAnsi="Times New Roman"/>
          <w:sz w:val="24"/>
          <w:szCs w:val="24"/>
        </w:rPr>
        <w:t>q</w:t>
      </w:r>
      <w:r w:rsidRPr="00301629">
        <w:rPr>
          <w:rFonts w:ascii="Times New Roman" w:hAnsi="Times New Roman"/>
          <w:sz w:val="24"/>
          <w:szCs w:val="24"/>
        </w:rPr>
        <w:t xml:space="preserve"> (</w:t>
      </w:r>
      <w:r w:rsidR="00BB15E9">
        <w:rPr>
          <w:rFonts w:ascii="Times New Roman" w:hAnsi="Times New Roman"/>
          <w:sz w:val="24"/>
          <w:szCs w:val="24"/>
        </w:rPr>
        <w:t>b</w:t>
      </w:r>
      <w:r w:rsidRPr="00301629">
        <w:rPr>
          <w:rFonts w:ascii="Times New Roman" w:hAnsi="Times New Roman"/>
          <w:sz w:val="24"/>
          <w:szCs w:val="24"/>
        </w:rPr>
        <w:t xml:space="preserve">rand 2) over a 20-year period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4A).</w:t>
      </w:r>
    </w:p>
    <w:p w14:paraId="0840DC6C" w14:textId="3B54BFF3" w:rsidR="00402489" w:rsidRDefault="00402489" w:rsidP="00402489">
      <w:pPr>
        <w:spacing w:after="0" w:line="480" w:lineRule="auto"/>
        <w:rPr>
          <w:rFonts w:ascii="Times New Roman" w:hAnsi="Times New Roman"/>
          <w:sz w:val="24"/>
          <w:szCs w:val="24"/>
        </w:rPr>
      </w:pPr>
    </w:p>
    <w:p w14:paraId="19643060" w14:textId="3498E174" w:rsidR="00936657" w:rsidRDefault="00936657" w:rsidP="00402489">
      <w:pPr>
        <w:spacing w:after="0" w:line="480" w:lineRule="auto"/>
        <w:jc w:val="center"/>
        <w:rPr>
          <w:rFonts w:ascii="Times New Roman" w:hAnsi="Times New Roman"/>
          <w:sz w:val="24"/>
          <w:szCs w:val="24"/>
          <w:highlight w:val="yellow"/>
        </w:rPr>
      </w:pPr>
      <w:r w:rsidRPr="00936657">
        <w:rPr>
          <w:rFonts w:ascii="Times New Roman" w:hAnsi="Times New Roman"/>
          <w:sz w:val="24"/>
          <w:szCs w:val="24"/>
        </w:rPr>
        <w:lastRenderedPageBreak/>
        <w:drawing>
          <wp:inline distT="0" distB="0" distL="0" distR="0" wp14:anchorId="680DE439" wp14:editId="77F94AAD">
            <wp:extent cx="5792008" cy="389626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92008" cy="3896269"/>
                    </a:xfrm>
                    <a:prstGeom prst="rect">
                      <a:avLst/>
                    </a:prstGeom>
                  </pic:spPr>
                </pic:pic>
              </a:graphicData>
            </a:graphic>
          </wp:inline>
        </w:drawing>
      </w:r>
    </w:p>
    <w:p w14:paraId="73A1BB4F" w14:textId="571345A8" w:rsidR="00402489" w:rsidRPr="00402489" w:rsidRDefault="00402489" w:rsidP="00402489">
      <w:pPr>
        <w:spacing w:after="0" w:line="480" w:lineRule="auto"/>
        <w:jc w:val="center"/>
        <w:rPr>
          <w:rFonts w:ascii="Times New Roman" w:hAnsi="Times New Roman"/>
          <w:sz w:val="24"/>
          <w:szCs w:val="24"/>
        </w:rPr>
      </w:pPr>
      <w:r w:rsidRPr="00936657">
        <w:rPr>
          <w:rFonts w:ascii="Times New Roman" w:hAnsi="Times New Roman"/>
          <w:sz w:val="24"/>
          <w:szCs w:val="24"/>
        </w:rPr>
        <w:t xml:space="preserve">Figure </w:t>
      </w:r>
      <w:r w:rsidR="002D1E76" w:rsidRPr="00936657">
        <w:rPr>
          <w:rFonts w:ascii="Times New Roman" w:hAnsi="Times New Roman"/>
          <w:sz w:val="24"/>
          <w:szCs w:val="24"/>
        </w:rPr>
        <w:t>E5</w:t>
      </w:r>
      <w:r w:rsidR="008E6EED" w:rsidRPr="00936657">
        <w:rPr>
          <w:rFonts w:ascii="Times New Roman" w:hAnsi="Times New Roman"/>
          <w:sz w:val="24"/>
          <w:szCs w:val="24"/>
        </w:rPr>
        <w:t>.</w:t>
      </w:r>
      <w:r w:rsidRPr="00936657">
        <w:rPr>
          <w:rFonts w:ascii="Times New Roman" w:hAnsi="Times New Roman"/>
          <w:sz w:val="24"/>
          <w:szCs w:val="24"/>
        </w:rPr>
        <w:t>4. Life cycle impacts of clean water supply over 20 years to (A) human health and (B) climate change by groundwater remediation (GAC, IEX) and bottled water (Brand 1, Brand 2). Bottled water scenarios include supply only to sensitive resident populations (SR) or to all residents and sensitive non-residents (RSN). Bars indicate 95% confidence intervals (2.5 to 97.5 percentiles). Lines and circles indicate median and mean values, respectively.</w:t>
      </w:r>
    </w:p>
    <w:p w14:paraId="3D54A744" w14:textId="77777777" w:rsidR="00402489" w:rsidRPr="00301629" w:rsidRDefault="00402489" w:rsidP="00402489">
      <w:pPr>
        <w:spacing w:after="0" w:line="480" w:lineRule="auto"/>
        <w:rPr>
          <w:rFonts w:ascii="Times New Roman" w:hAnsi="Times New Roman"/>
          <w:sz w:val="24"/>
          <w:szCs w:val="24"/>
        </w:rPr>
      </w:pPr>
    </w:p>
    <w:p w14:paraId="76394637" w14:textId="744EF9FB" w:rsidR="00063A07" w:rsidRPr="00301629" w:rsidRDefault="00063A07" w:rsidP="00D75CB5">
      <w:pPr>
        <w:spacing w:after="0" w:line="480" w:lineRule="auto"/>
        <w:ind w:firstLine="720"/>
        <w:rPr>
          <w:rFonts w:ascii="Times New Roman" w:hAnsi="Times New Roman"/>
          <w:sz w:val="24"/>
          <w:szCs w:val="24"/>
        </w:rPr>
      </w:pPr>
      <w:r w:rsidRPr="00301629">
        <w:rPr>
          <w:rFonts w:ascii="Times New Roman" w:hAnsi="Times New Roman"/>
          <w:sz w:val="24"/>
          <w:szCs w:val="24"/>
        </w:rPr>
        <w:t>Model results for system lifetime impacts on human health indicate</w:t>
      </w:r>
      <w:r w:rsidR="00D90436">
        <w:rPr>
          <w:rFonts w:ascii="Times New Roman" w:hAnsi="Times New Roman"/>
          <w:sz w:val="24"/>
          <w:szCs w:val="24"/>
        </w:rPr>
        <w:t>d</w:t>
      </w:r>
      <w:r w:rsidRPr="00301629">
        <w:rPr>
          <w:rFonts w:ascii="Times New Roman" w:hAnsi="Times New Roman"/>
          <w:sz w:val="24"/>
          <w:szCs w:val="24"/>
        </w:rPr>
        <w:t xml:space="preserve"> that at low to moderate contaminant concentrations, a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system may result in 4 – 74 DALYs across the full system life cycle. These impacts may increase to 10 – 120 DALYs at higher contaminant concentrations due to increased cycling of the remediating material (GAC or ion exchange resin)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4B). Economic valuation of these health impacts result</w:t>
      </w:r>
      <w:r w:rsidR="00D90436">
        <w:rPr>
          <w:rFonts w:ascii="Times New Roman" w:hAnsi="Times New Roman"/>
          <w:sz w:val="24"/>
          <w:szCs w:val="24"/>
        </w:rPr>
        <w:t>ed</w:t>
      </w:r>
      <w:r w:rsidRPr="00301629">
        <w:rPr>
          <w:rFonts w:ascii="Times New Roman" w:hAnsi="Times New Roman"/>
          <w:sz w:val="24"/>
          <w:szCs w:val="24"/>
        </w:rPr>
        <w:t xml:space="preserve"> in </w:t>
      </w:r>
      <w:r w:rsidRPr="00301629">
        <w:rPr>
          <w:rFonts w:ascii="Times New Roman" w:hAnsi="Times New Roman"/>
          <w:sz w:val="24"/>
          <w:szCs w:val="24"/>
        </w:rPr>
        <w:lastRenderedPageBreak/>
        <w:t>likely total costs of $1.2M or $1.4M for GAC and IEX, respectively, at 0.7 µg/L PFAS, up to $4.2M or $3.7M for GAC and IEX at 70 µg/L PFAS.</w:t>
      </w:r>
    </w:p>
    <w:p w14:paraId="6C2CF545" w14:textId="0ADB149D" w:rsidR="00063A07" w:rsidRPr="00301629" w:rsidRDefault="00063A07" w:rsidP="00D90436">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Supplemental drinking water scenarios may result in 0.2 – 1.2 DALYs over 20 years when bottled water </w:t>
      </w:r>
      <w:r w:rsidR="00611FF5">
        <w:rPr>
          <w:rFonts w:ascii="Times New Roman" w:hAnsi="Times New Roman"/>
          <w:sz w:val="24"/>
          <w:szCs w:val="24"/>
        </w:rPr>
        <w:t>wa</w:t>
      </w:r>
      <w:r w:rsidRPr="00301629">
        <w:rPr>
          <w:rFonts w:ascii="Times New Roman" w:hAnsi="Times New Roman"/>
          <w:sz w:val="24"/>
          <w:szCs w:val="24"/>
        </w:rPr>
        <w:t xml:space="preserve">s supplied only to the sensitive fraction of permanent residents on-site. When bottled water </w:t>
      </w:r>
      <w:r w:rsidR="00611FF5">
        <w:rPr>
          <w:rFonts w:ascii="Times New Roman" w:hAnsi="Times New Roman"/>
          <w:sz w:val="24"/>
          <w:szCs w:val="24"/>
        </w:rPr>
        <w:t>wa</w:t>
      </w:r>
      <w:r w:rsidRPr="00301629">
        <w:rPr>
          <w:rFonts w:ascii="Times New Roman" w:hAnsi="Times New Roman"/>
          <w:sz w:val="24"/>
          <w:szCs w:val="24"/>
        </w:rPr>
        <w:t xml:space="preserve">s supplied to all residents </w:t>
      </w:r>
      <w:proofErr w:type="gramStart"/>
      <w:r w:rsidRPr="00301629">
        <w:rPr>
          <w:rFonts w:ascii="Times New Roman" w:hAnsi="Times New Roman"/>
          <w:sz w:val="24"/>
          <w:szCs w:val="24"/>
        </w:rPr>
        <w:t>and also</w:t>
      </w:r>
      <w:proofErr w:type="gramEnd"/>
      <w:r w:rsidRPr="00301629">
        <w:rPr>
          <w:rFonts w:ascii="Times New Roman" w:hAnsi="Times New Roman"/>
          <w:sz w:val="24"/>
          <w:szCs w:val="24"/>
        </w:rPr>
        <w:t xml:space="preserve"> to the sensitive fraction of non-residents, life cycle human health impacts may rise to 6 to 33 DALYs. Economic impacts of these losses to human health may range from $42,000 (brand 1) or $69,000 (brand 2) in the sensitive residents scenario to $1.3M (brand 1) or $2.0M (brand 2) in the residents and sensitive non-residents scenario. </w:t>
      </w:r>
    </w:p>
    <w:p w14:paraId="13CA50B4" w14:textId="77777777" w:rsidR="00063A07" w:rsidRPr="00301629" w:rsidRDefault="00063A07" w:rsidP="00301629">
      <w:pPr>
        <w:spacing w:after="0" w:line="480" w:lineRule="auto"/>
        <w:rPr>
          <w:rFonts w:ascii="Times New Roman" w:hAnsi="Times New Roman"/>
          <w:sz w:val="24"/>
          <w:szCs w:val="24"/>
        </w:rPr>
      </w:pPr>
    </w:p>
    <w:p w14:paraId="5386CDF3" w14:textId="06EB518C" w:rsidR="00063A07" w:rsidRPr="00611FF5" w:rsidRDefault="00611FF5" w:rsidP="00611FF5">
      <w:pPr>
        <w:pStyle w:val="Heading2"/>
        <w:numPr>
          <w:ilvl w:val="0"/>
          <w:numId w:val="3"/>
        </w:numPr>
        <w:spacing w:before="0" w:line="480" w:lineRule="auto"/>
        <w:rPr>
          <w:rFonts w:ascii="Times New Roman" w:hAnsi="Times New Roman"/>
          <w:b/>
          <w:bCs/>
          <w:color w:val="auto"/>
          <w:sz w:val="24"/>
          <w:szCs w:val="24"/>
        </w:rPr>
      </w:pPr>
      <w:r>
        <w:rPr>
          <w:rFonts w:ascii="Times New Roman" w:hAnsi="Times New Roman"/>
          <w:b/>
          <w:bCs/>
          <w:color w:val="auto"/>
          <w:sz w:val="24"/>
          <w:szCs w:val="24"/>
        </w:rPr>
        <w:t xml:space="preserve"> </w:t>
      </w:r>
      <w:r w:rsidR="00063A07" w:rsidRPr="00611FF5">
        <w:rPr>
          <w:rFonts w:ascii="Times New Roman" w:hAnsi="Times New Roman"/>
          <w:b/>
          <w:bCs/>
          <w:color w:val="auto"/>
          <w:sz w:val="24"/>
          <w:szCs w:val="24"/>
        </w:rPr>
        <w:t>Discussion</w:t>
      </w:r>
    </w:p>
    <w:p w14:paraId="0C77BDE9" w14:textId="77777777" w:rsidR="00611FF5" w:rsidRDefault="00611FF5" w:rsidP="00301629">
      <w:pPr>
        <w:spacing w:after="0" w:line="480" w:lineRule="auto"/>
        <w:rPr>
          <w:rFonts w:ascii="Times New Roman" w:hAnsi="Times New Roman"/>
          <w:sz w:val="24"/>
          <w:szCs w:val="24"/>
        </w:rPr>
      </w:pPr>
    </w:p>
    <w:p w14:paraId="7597C4D5" w14:textId="145A6610" w:rsidR="00063A07" w:rsidRPr="00301629" w:rsidRDefault="00063A07" w:rsidP="00301629">
      <w:pPr>
        <w:spacing w:after="0" w:line="480" w:lineRule="auto"/>
        <w:rPr>
          <w:rFonts w:ascii="Times New Roman" w:hAnsi="Times New Roman"/>
          <w:sz w:val="24"/>
          <w:szCs w:val="24"/>
        </w:rPr>
      </w:pPr>
      <w:r w:rsidRPr="00301629">
        <w:rPr>
          <w:rFonts w:ascii="Times New Roman" w:hAnsi="Times New Roman"/>
          <w:sz w:val="24"/>
          <w:szCs w:val="24"/>
        </w:rPr>
        <w:t xml:space="preserve">GAC and IEX-based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methods appear</w:t>
      </w:r>
      <w:r w:rsidR="007E68A7">
        <w:rPr>
          <w:rFonts w:ascii="Times New Roman" w:hAnsi="Times New Roman"/>
          <w:sz w:val="24"/>
          <w:szCs w:val="24"/>
        </w:rPr>
        <w:t>ed</w:t>
      </w:r>
      <w:r w:rsidRPr="00301629">
        <w:rPr>
          <w:rFonts w:ascii="Times New Roman" w:hAnsi="Times New Roman"/>
          <w:sz w:val="24"/>
          <w:szCs w:val="24"/>
        </w:rPr>
        <w:t xml:space="preserve"> to perform similarly on a life-cycle basis. The dominance of on-site energy use, which </w:t>
      </w:r>
      <w:r w:rsidR="007E68A7">
        <w:rPr>
          <w:rFonts w:ascii="Times New Roman" w:hAnsi="Times New Roman"/>
          <w:sz w:val="24"/>
          <w:szCs w:val="24"/>
        </w:rPr>
        <w:t>wa</w:t>
      </w:r>
      <w:r w:rsidRPr="00301629">
        <w:rPr>
          <w:rFonts w:ascii="Times New Roman" w:hAnsi="Times New Roman"/>
          <w:sz w:val="24"/>
          <w:szCs w:val="24"/>
        </w:rPr>
        <w:t xml:space="preserve">s used primarily for pumping water through the contactors and into the distribution system, helps explain the similarities in climate change impacts between our scenarios and a review of tap water life cycle assessments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 xml:space="preserve">2A) </w:t>
      </w:r>
      <w:bookmarkStart w:id="20" w:name="Mendeley_Bookmark_zGiRGGYgVn"/>
      <w:r w:rsidRPr="00301629">
        <w:rPr>
          <w:rFonts w:ascii="Times New Roman" w:hAnsi="Times New Roman"/>
          <w:sz w:val="24"/>
          <w:szCs w:val="24"/>
        </w:rPr>
        <w:t>(</w:t>
      </w:r>
      <w:proofErr w:type="spellStart"/>
      <w:r w:rsidRPr="00301629">
        <w:rPr>
          <w:rFonts w:ascii="Times New Roman" w:hAnsi="Times New Roman"/>
          <w:sz w:val="24"/>
          <w:szCs w:val="24"/>
        </w:rPr>
        <w:t>Fantin</w:t>
      </w:r>
      <w:proofErr w:type="spellEnd"/>
      <w:r w:rsidRPr="00301629">
        <w:rPr>
          <w:rFonts w:ascii="Times New Roman" w:hAnsi="Times New Roman"/>
          <w:sz w:val="24"/>
          <w:szCs w:val="24"/>
        </w:rPr>
        <w:t xml:space="preserve"> et al. 2014)</w:t>
      </w:r>
      <w:bookmarkEnd w:id="20"/>
      <w:r w:rsidRPr="00301629">
        <w:rPr>
          <w:rFonts w:ascii="Times New Roman" w:hAnsi="Times New Roman"/>
          <w:sz w:val="24"/>
          <w:szCs w:val="24"/>
        </w:rPr>
        <w:t>. Only when GAC use and IEX column regeneration rates increase</w:t>
      </w:r>
      <w:r w:rsidR="007E68A7">
        <w:rPr>
          <w:rFonts w:ascii="Times New Roman" w:hAnsi="Times New Roman"/>
          <w:sz w:val="24"/>
          <w:szCs w:val="24"/>
        </w:rPr>
        <w:t>d</w:t>
      </w:r>
      <w:r w:rsidRPr="00301629">
        <w:rPr>
          <w:rFonts w:ascii="Times New Roman" w:hAnsi="Times New Roman"/>
          <w:sz w:val="24"/>
          <w:szCs w:val="24"/>
        </w:rPr>
        <w:t xml:space="preserve"> at higher contaminant concentrations d</w:t>
      </w:r>
      <w:r w:rsidR="007E68A7">
        <w:rPr>
          <w:rFonts w:ascii="Times New Roman" w:hAnsi="Times New Roman"/>
          <w:sz w:val="24"/>
          <w:szCs w:val="24"/>
        </w:rPr>
        <w:t>id</w:t>
      </w:r>
      <w:r w:rsidRPr="00301629">
        <w:rPr>
          <w:rFonts w:ascii="Times New Roman" w:hAnsi="Times New Roman"/>
          <w:sz w:val="24"/>
          <w:szCs w:val="24"/>
        </w:rPr>
        <w:t xml:space="preserve"> impacts exceed the range of expected results for tap water provisioning.</w:t>
      </w:r>
    </w:p>
    <w:p w14:paraId="3E4DCA3E" w14:textId="5C0CB156" w:rsidR="00063A07" w:rsidRPr="00301629" w:rsidRDefault="00063A07" w:rsidP="007E68A7">
      <w:pPr>
        <w:spacing w:after="0" w:line="480" w:lineRule="auto"/>
        <w:ind w:firstLine="720"/>
        <w:rPr>
          <w:rFonts w:ascii="Times New Roman" w:hAnsi="Times New Roman"/>
          <w:sz w:val="24"/>
          <w:szCs w:val="24"/>
        </w:rPr>
      </w:pPr>
      <w:r w:rsidRPr="00301629">
        <w:rPr>
          <w:rFonts w:ascii="Times New Roman" w:hAnsi="Times New Roman"/>
          <w:sz w:val="24"/>
          <w:szCs w:val="24"/>
        </w:rPr>
        <w:t>Our results for climate change impacts of bottled water supply f</w:t>
      </w:r>
      <w:r w:rsidR="007E68A7">
        <w:rPr>
          <w:rFonts w:ascii="Times New Roman" w:hAnsi="Times New Roman"/>
          <w:sz w:val="24"/>
          <w:szCs w:val="24"/>
        </w:rPr>
        <w:t>e</w:t>
      </w:r>
      <w:r w:rsidRPr="00301629">
        <w:rPr>
          <w:rFonts w:ascii="Times New Roman" w:hAnsi="Times New Roman"/>
          <w:sz w:val="24"/>
          <w:szCs w:val="24"/>
        </w:rPr>
        <w:t xml:space="preserve">ll within the range of bottled water life cycle assessments harmonized by </w:t>
      </w:r>
      <w:proofErr w:type="spellStart"/>
      <w:r w:rsidRPr="00301629">
        <w:rPr>
          <w:rFonts w:ascii="Times New Roman" w:hAnsi="Times New Roman"/>
          <w:sz w:val="24"/>
          <w:szCs w:val="24"/>
        </w:rPr>
        <w:t>Fantin</w:t>
      </w:r>
      <w:proofErr w:type="spellEnd"/>
      <w:r w:rsidRPr="00301629">
        <w:rPr>
          <w:rFonts w:ascii="Times New Roman" w:hAnsi="Times New Roman"/>
          <w:sz w:val="24"/>
          <w:szCs w:val="24"/>
        </w:rPr>
        <w:t xml:space="preserve"> et al. </w:t>
      </w:r>
      <w:bookmarkStart w:id="21" w:name="Mendeley_Bookmark_OBG62ounBn"/>
      <w:r w:rsidRPr="00301629">
        <w:rPr>
          <w:rFonts w:ascii="Times New Roman" w:hAnsi="Times New Roman"/>
          <w:sz w:val="24"/>
          <w:szCs w:val="24"/>
        </w:rPr>
        <w:t>(2014)</w:t>
      </w:r>
      <w:bookmarkEnd w:id="21"/>
      <w:r w:rsidRPr="00301629">
        <w:rPr>
          <w:rFonts w:ascii="Times New Roman" w:hAnsi="Times New Roman"/>
          <w:sz w:val="24"/>
          <w:szCs w:val="24"/>
        </w:rPr>
        <w:t xml:space="preserve">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 xml:space="preserve">2B). The similarity between </w:t>
      </w:r>
      <w:r w:rsidR="000D40E9" w:rsidRPr="00301629">
        <w:rPr>
          <w:rFonts w:ascii="Times New Roman" w:hAnsi="Times New Roman"/>
          <w:sz w:val="24"/>
          <w:szCs w:val="24"/>
        </w:rPr>
        <w:t>deterministic</w:t>
      </w:r>
      <w:r w:rsidRPr="00301629">
        <w:rPr>
          <w:rFonts w:ascii="Times New Roman" w:hAnsi="Times New Roman"/>
          <w:sz w:val="24"/>
          <w:szCs w:val="24"/>
        </w:rPr>
        <w:t xml:space="preserve"> and stochastic results for our </w:t>
      </w:r>
      <w:r w:rsidR="007E68A7">
        <w:rPr>
          <w:rFonts w:ascii="Times New Roman" w:hAnsi="Times New Roman"/>
          <w:sz w:val="24"/>
          <w:szCs w:val="24"/>
        </w:rPr>
        <w:t>b</w:t>
      </w:r>
      <w:r w:rsidRPr="00301629">
        <w:rPr>
          <w:rFonts w:ascii="Times New Roman" w:hAnsi="Times New Roman"/>
          <w:sz w:val="24"/>
          <w:szCs w:val="24"/>
        </w:rPr>
        <w:t xml:space="preserve">rand 1 scenarios for local delivery and resident pick-up and </w:t>
      </w:r>
      <w:proofErr w:type="gramStart"/>
      <w:r w:rsidRPr="00301629">
        <w:rPr>
          <w:rFonts w:ascii="Times New Roman" w:hAnsi="Times New Roman"/>
          <w:sz w:val="24"/>
          <w:szCs w:val="24"/>
        </w:rPr>
        <w:t>the majority of</w:t>
      </w:r>
      <w:proofErr w:type="gramEnd"/>
      <w:r w:rsidRPr="00301629">
        <w:rPr>
          <w:rFonts w:ascii="Times New Roman" w:hAnsi="Times New Roman"/>
          <w:sz w:val="24"/>
          <w:szCs w:val="24"/>
        </w:rPr>
        <w:t xml:space="preserve"> studies reviewed by </w:t>
      </w:r>
      <w:proofErr w:type="spellStart"/>
      <w:r w:rsidRPr="00301629">
        <w:rPr>
          <w:rFonts w:ascii="Times New Roman" w:hAnsi="Times New Roman"/>
          <w:sz w:val="24"/>
          <w:szCs w:val="24"/>
        </w:rPr>
        <w:t>Fantin</w:t>
      </w:r>
      <w:proofErr w:type="spellEnd"/>
      <w:r w:rsidRPr="00301629">
        <w:rPr>
          <w:rFonts w:ascii="Times New Roman" w:hAnsi="Times New Roman"/>
          <w:sz w:val="24"/>
          <w:szCs w:val="24"/>
        </w:rPr>
        <w:t xml:space="preserve"> et al. (2014) </w:t>
      </w:r>
      <w:r w:rsidRPr="00301629">
        <w:rPr>
          <w:rFonts w:ascii="Times New Roman" w:hAnsi="Times New Roman"/>
          <w:sz w:val="24"/>
          <w:szCs w:val="24"/>
        </w:rPr>
        <w:lastRenderedPageBreak/>
        <w:t>support</w:t>
      </w:r>
      <w:r w:rsidR="007E68A7">
        <w:rPr>
          <w:rFonts w:ascii="Times New Roman" w:hAnsi="Times New Roman"/>
          <w:sz w:val="24"/>
          <w:szCs w:val="24"/>
        </w:rPr>
        <w:t>s</w:t>
      </w:r>
      <w:r w:rsidRPr="00301629">
        <w:rPr>
          <w:rFonts w:ascii="Times New Roman" w:hAnsi="Times New Roman"/>
          <w:sz w:val="24"/>
          <w:szCs w:val="24"/>
        </w:rPr>
        <w:t xml:space="preserve"> the validity of the </w:t>
      </w:r>
      <w:proofErr w:type="spellStart"/>
      <w:r w:rsidRPr="00301629">
        <w:rPr>
          <w:rFonts w:ascii="Times New Roman" w:hAnsi="Times New Roman"/>
          <w:sz w:val="24"/>
          <w:szCs w:val="24"/>
        </w:rPr>
        <w:t>Quantis</w:t>
      </w:r>
      <w:proofErr w:type="spellEnd"/>
      <w:r w:rsidRPr="00301629">
        <w:rPr>
          <w:rFonts w:ascii="Times New Roman" w:hAnsi="Times New Roman"/>
          <w:sz w:val="24"/>
          <w:szCs w:val="24"/>
        </w:rPr>
        <w:t xml:space="preserve"> (2010) data set. Unfortunately, insufficient data on the human health or ecotoxicity impacts of bottled water production </w:t>
      </w:r>
      <w:r w:rsidR="007E68A7">
        <w:rPr>
          <w:rFonts w:ascii="Times New Roman" w:hAnsi="Times New Roman"/>
          <w:sz w:val="24"/>
          <w:szCs w:val="24"/>
        </w:rPr>
        <w:t>wa</w:t>
      </w:r>
      <w:r w:rsidRPr="00301629">
        <w:rPr>
          <w:rFonts w:ascii="Times New Roman" w:hAnsi="Times New Roman"/>
          <w:sz w:val="24"/>
          <w:szCs w:val="24"/>
        </w:rPr>
        <w:t>s available in published life cycle assessments to make substantive comparisons with the literature.</w:t>
      </w:r>
    </w:p>
    <w:p w14:paraId="495481F1" w14:textId="77777777" w:rsidR="00063A07" w:rsidRPr="00301629" w:rsidRDefault="00063A07" w:rsidP="00301629">
      <w:pPr>
        <w:spacing w:after="0" w:line="480" w:lineRule="auto"/>
        <w:rPr>
          <w:rFonts w:ascii="Times New Roman" w:hAnsi="Times New Roman"/>
          <w:sz w:val="24"/>
          <w:szCs w:val="24"/>
        </w:rPr>
      </w:pPr>
    </w:p>
    <w:p w14:paraId="4A09D716" w14:textId="6A3C57CA" w:rsidR="00063A07" w:rsidRPr="007E68A7" w:rsidRDefault="007E68A7" w:rsidP="007E68A7">
      <w:pPr>
        <w:pStyle w:val="Heading3"/>
        <w:spacing w:before="0" w:line="480" w:lineRule="auto"/>
        <w:rPr>
          <w:rFonts w:ascii="Times New Roman" w:hAnsi="Times New Roman"/>
          <w:b/>
          <w:bCs/>
          <w:color w:val="auto"/>
        </w:rPr>
      </w:pPr>
      <w:proofErr w:type="gramStart"/>
      <w:r>
        <w:rPr>
          <w:rFonts w:ascii="Times New Roman" w:hAnsi="Times New Roman"/>
          <w:b/>
          <w:bCs/>
          <w:color w:val="auto"/>
        </w:rPr>
        <w:t xml:space="preserve">4.1  </w:t>
      </w:r>
      <w:r w:rsidR="00063A07" w:rsidRPr="007E68A7">
        <w:rPr>
          <w:rFonts w:ascii="Times New Roman" w:hAnsi="Times New Roman"/>
          <w:b/>
          <w:bCs/>
          <w:color w:val="auto"/>
        </w:rPr>
        <w:t>Role</w:t>
      </w:r>
      <w:proofErr w:type="gramEnd"/>
      <w:r w:rsidR="00063A07" w:rsidRPr="007E68A7">
        <w:rPr>
          <w:rFonts w:ascii="Times New Roman" w:hAnsi="Times New Roman"/>
          <w:b/>
          <w:bCs/>
          <w:color w:val="auto"/>
        </w:rPr>
        <w:t xml:space="preserve"> of energy use in groundwater </w:t>
      </w:r>
      <w:r w:rsidR="002D549E" w:rsidRPr="007E68A7">
        <w:rPr>
          <w:rFonts w:ascii="Times New Roman" w:hAnsi="Times New Roman"/>
          <w:b/>
          <w:bCs/>
          <w:color w:val="auto"/>
        </w:rPr>
        <w:t>treatment</w:t>
      </w:r>
    </w:p>
    <w:p w14:paraId="768D4D57" w14:textId="32132972" w:rsidR="00063A07" w:rsidRPr="00301629" w:rsidRDefault="00063A07" w:rsidP="007E68A7">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The primary source of life-cycle climate change, human health, acidification, and ecotoxicity impacts from both systems </w:t>
      </w:r>
      <w:r w:rsidR="007E4BED">
        <w:rPr>
          <w:rFonts w:ascii="Times New Roman" w:hAnsi="Times New Roman"/>
          <w:sz w:val="24"/>
          <w:szCs w:val="24"/>
        </w:rPr>
        <w:t>wa</w:t>
      </w:r>
      <w:r w:rsidRPr="00301629">
        <w:rPr>
          <w:rFonts w:ascii="Times New Roman" w:hAnsi="Times New Roman"/>
          <w:sz w:val="24"/>
          <w:szCs w:val="24"/>
        </w:rPr>
        <w:t xml:space="preserve">s electricity use at the </w:t>
      </w:r>
      <w:r w:rsidR="002D549E" w:rsidRPr="00301629">
        <w:rPr>
          <w:rFonts w:ascii="Times New Roman" w:hAnsi="Times New Roman"/>
          <w:sz w:val="24"/>
          <w:szCs w:val="24"/>
        </w:rPr>
        <w:t>treatment</w:t>
      </w:r>
      <w:r w:rsidRPr="00301629">
        <w:rPr>
          <w:rFonts w:ascii="Times New Roman" w:hAnsi="Times New Roman"/>
          <w:sz w:val="24"/>
          <w:szCs w:val="24"/>
        </w:rPr>
        <w:t xml:space="preserve"> facility. </w:t>
      </w:r>
      <w:proofErr w:type="gramStart"/>
      <w:r w:rsidRPr="00301629">
        <w:rPr>
          <w:rFonts w:ascii="Times New Roman" w:hAnsi="Times New Roman"/>
          <w:sz w:val="24"/>
          <w:szCs w:val="24"/>
        </w:rPr>
        <w:t>In particular, electricity</w:t>
      </w:r>
      <w:proofErr w:type="gramEnd"/>
      <w:r w:rsidRPr="00301629">
        <w:rPr>
          <w:rFonts w:ascii="Times New Roman" w:hAnsi="Times New Roman"/>
          <w:sz w:val="24"/>
          <w:szCs w:val="24"/>
        </w:rPr>
        <w:t xml:space="preserve"> generation from coal represent</w:t>
      </w:r>
      <w:r w:rsidR="007E4BED">
        <w:rPr>
          <w:rFonts w:ascii="Times New Roman" w:hAnsi="Times New Roman"/>
          <w:sz w:val="24"/>
          <w:szCs w:val="24"/>
        </w:rPr>
        <w:t>ed</w:t>
      </w:r>
      <w:r w:rsidRPr="00301629">
        <w:rPr>
          <w:rFonts w:ascii="Times New Roman" w:hAnsi="Times New Roman"/>
          <w:sz w:val="24"/>
          <w:szCs w:val="24"/>
        </w:rPr>
        <w:t xml:space="preserve"> 78% and 82% of total life-cycle greenhouse gas emissions from GAC and IEX-based </w:t>
      </w:r>
      <w:r w:rsidR="002D549E" w:rsidRPr="00301629">
        <w:rPr>
          <w:rFonts w:ascii="Times New Roman" w:hAnsi="Times New Roman"/>
          <w:sz w:val="24"/>
          <w:szCs w:val="24"/>
        </w:rPr>
        <w:t>treatment</w:t>
      </w:r>
      <w:r w:rsidRPr="00301629">
        <w:rPr>
          <w:rFonts w:ascii="Times New Roman" w:hAnsi="Times New Roman"/>
          <w:sz w:val="24"/>
          <w:szCs w:val="24"/>
        </w:rPr>
        <w:t xml:space="preserve"> methods, respectively. At higher PFAS concentrations, the recycling of </w:t>
      </w:r>
      <w:r w:rsidR="002D549E" w:rsidRPr="00301629">
        <w:rPr>
          <w:rFonts w:ascii="Times New Roman" w:hAnsi="Times New Roman"/>
          <w:sz w:val="24"/>
          <w:szCs w:val="24"/>
        </w:rPr>
        <w:t>treatment</w:t>
      </w:r>
      <w:r w:rsidRPr="00301629">
        <w:rPr>
          <w:rFonts w:ascii="Times New Roman" w:hAnsi="Times New Roman"/>
          <w:sz w:val="24"/>
          <w:szCs w:val="24"/>
        </w:rPr>
        <w:t xml:space="preserve"> components ma</w:t>
      </w:r>
      <w:r w:rsidR="007E4BED">
        <w:rPr>
          <w:rFonts w:ascii="Times New Roman" w:hAnsi="Times New Roman"/>
          <w:sz w:val="24"/>
          <w:szCs w:val="24"/>
        </w:rPr>
        <w:t>de</w:t>
      </w:r>
      <w:r w:rsidRPr="00301629">
        <w:rPr>
          <w:rFonts w:ascii="Times New Roman" w:hAnsi="Times New Roman"/>
          <w:sz w:val="24"/>
          <w:szCs w:val="24"/>
        </w:rPr>
        <w:t xml:space="preserve"> up a larger fraction of life-cycle impacts and the contributions of coal-fired power plants drop</w:t>
      </w:r>
      <w:r w:rsidR="007E4BED">
        <w:rPr>
          <w:rFonts w:ascii="Times New Roman" w:hAnsi="Times New Roman"/>
          <w:sz w:val="24"/>
          <w:szCs w:val="24"/>
        </w:rPr>
        <w:t>ped</w:t>
      </w:r>
      <w:r w:rsidRPr="00301629">
        <w:rPr>
          <w:rFonts w:ascii="Times New Roman" w:hAnsi="Times New Roman"/>
          <w:sz w:val="24"/>
          <w:szCs w:val="24"/>
        </w:rPr>
        <w:t xml:space="preserve"> to 49% and 13% (GAC) and 78% and 54% (IEX) for groundwater with 7 and 70 µg/L PFAS, respectively.</w:t>
      </w:r>
    </w:p>
    <w:p w14:paraId="2B73C8EE" w14:textId="532FCD7F" w:rsidR="00063A07" w:rsidRPr="00301629" w:rsidRDefault="00063A07" w:rsidP="007E4BED">
      <w:pPr>
        <w:spacing w:after="0" w:line="480" w:lineRule="auto"/>
        <w:ind w:firstLine="720"/>
        <w:rPr>
          <w:rFonts w:ascii="Times New Roman" w:hAnsi="Times New Roman"/>
          <w:sz w:val="24"/>
          <w:szCs w:val="24"/>
        </w:rPr>
      </w:pPr>
      <w:r w:rsidRPr="00301629">
        <w:rPr>
          <w:rFonts w:ascii="Times New Roman" w:hAnsi="Times New Roman"/>
          <w:sz w:val="24"/>
          <w:szCs w:val="24"/>
        </w:rPr>
        <w:t>Electric generation offer</w:t>
      </w:r>
      <w:r w:rsidR="007E4BED">
        <w:rPr>
          <w:rFonts w:ascii="Times New Roman" w:hAnsi="Times New Roman"/>
          <w:sz w:val="24"/>
          <w:szCs w:val="24"/>
        </w:rPr>
        <w:t>ed</w:t>
      </w:r>
      <w:r w:rsidRPr="00301629">
        <w:rPr>
          <w:rFonts w:ascii="Times New Roman" w:hAnsi="Times New Roman"/>
          <w:sz w:val="24"/>
          <w:szCs w:val="24"/>
        </w:rPr>
        <w:t xml:space="preserve"> an easy target for impact reduction. Substitution of low-impact electricity sources such as wind or solar could reduce the human health costs of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by 76% to 96% </w:t>
      </w:r>
      <w:bookmarkStart w:id="22" w:name="Mendeley_Bookmark_of7ebceCky"/>
      <w:r w:rsidRPr="00301629">
        <w:rPr>
          <w:rFonts w:ascii="Times New Roman" w:hAnsi="Times New Roman"/>
          <w:sz w:val="24"/>
          <w:szCs w:val="24"/>
        </w:rPr>
        <w:t>(</w:t>
      </w:r>
      <w:proofErr w:type="spellStart"/>
      <w:r w:rsidRPr="00301629">
        <w:rPr>
          <w:rFonts w:ascii="Times New Roman" w:hAnsi="Times New Roman"/>
          <w:sz w:val="24"/>
          <w:szCs w:val="24"/>
        </w:rPr>
        <w:t>Hertwich</w:t>
      </w:r>
      <w:proofErr w:type="spellEnd"/>
      <w:r w:rsidRPr="00301629">
        <w:rPr>
          <w:rFonts w:ascii="Times New Roman" w:hAnsi="Times New Roman"/>
          <w:sz w:val="24"/>
          <w:szCs w:val="24"/>
        </w:rPr>
        <w:t xml:space="preserve"> et al. 2014)</w:t>
      </w:r>
      <w:bookmarkEnd w:id="22"/>
      <w:r w:rsidRPr="00301629">
        <w:rPr>
          <w:rFonts w:ascii="Times New Roman" w:hAnsi="Times New Roman"/>
          <w:sz w:val="24"/>
          <w:szCs w:val="24"/>
        </w:rPr>
        <w:t xml:space="preserve"> and reduce global warming potential by 92% to 99% </w:t>
      </w:r>
      <w:bookmarkStart w:id="23" w:name="Mendeley_Bookmark_L5T0xKgg9I"/>
      <w:r w:rsidRPr="00301629">
        <w:rPr>
          <w:rFonts w:ascii="Times New Roman" w:hAnsi="Times New Roman"/>
          <w:sz w:val="24"/>
          <w:szCs w:val="24"/>
        </w:rPr>
        <w:t>(</w:t>
      </w:r>
      <w:proofErr w:type="spellStart"/>
      <w:r w:rsidRPr="00301629">
        <w:rPr>
          <w:rFonts w:ascii="Times New Roman" w:hAnsi="Times New Roman"/>
          <w:sz w:val="24"/>
          <w:szCs w:val="24"/>
        </w:rPr>
        <w:t>Asdrubali</w:t>
      </w:r>
      <w:proofErr w:type="spellEnd"/>
      <w:r w:rsidRPr="00301629">
        <w:rPr>
          <w:rFonts w:ascii="Times New Roman" w:hAnsi="Times New Roman"/>
          <w:sz w:val="24"/>
          <w:szCs w:val="24"/>
        </w:rPr>
        <w:t xml:space="preserve"> et al. 2015</w:t>
      </w:r>
      <w:r w:rsidR="00795DF4">
        <w:rPr>
          <w:rFonts w:ascii="Times New Roman" w:hAnsi="Times New Roman"/>
          <w:sz w:val="24"/>
          <w:szCs w:val="24"/>
        </w:rPr>
        <w:t>,</w:t>
      </w:r>
      <w:r w:rsidRPr="00301629">
        <w:rPr>
          <w:rFonts w:ascii="Times New Roman" w:hAnsi="Times New Roman"/>
          <w:sz w:val="24"/>
          <w:szCs w:val="24"/>
        </w:rPr>
        <w:t xml:space="preserve"> </w:t>
      </w:r>
      <w:proofErr w:type="spellStart"/>
      <w:r w:rsidRPr="00301629">
        <w:rPr>
          <w:rFonts w:ascii="Times New Roman" w:hAnsi="Times New Roman"/>
          <w:sz w:val="24"/>
          <w:szCs w:val="24"/>
        </w:rPr>
        <w:t>Hertwich</w:t>
      </w:r>
      <w:proofErr w:type="spellEnd"/>
      <w:r w:rsidRPr="00301629">
        <w:rPr>
          <w:rFonts w:ascii="Times New Roman" w:hAnsi="Times New Roman"/>
          <w:sz w:val="24"/>
          <w:szCs w:val="24"/>
        </w:rPr>
        <w:t xml:space="preserve"> et al. 2014)</w:t>
      </w:r>
      <w:bookmarkEnd w:id="23"/>
      <w:r w:rsidRPr="00301629">
        <w:rPr>
          <w:rFonts w:ascii="Times New Roman" w:hAnsi="Times New Roman"/>
          <w:sz w:val="24"/>
          <w:szCs w:val="24"/>
        </w:rPr>
        <w:t xml:space="preserve">. When </w:t>
      </w:r>
      <w:r w:rsidR="002D549E" w:rsidRPr="00301629">
        <w:rPr>
          <w:rFonts w:ascii="Times New Roman" w:hAnsi="Times New Roman"/>
          <w:sz w:val="24"/>
          <w:szCs w:val="24"/>
        </w:rPr>
        <w:t>treatment</w:t>
      </w:r>
      <w:r w:rsidRPr="00301629">
        <w:rPr>
          <w:rFonts w:ascii="Times New Roman" w:hAnsi="Times New Roman"/>
          <w:sz w:val="24"/>
          <w:szCs w:val="24"/>
        </w:rPr>
        <w:t xml:space="preserve"> systems treat groundwater with higher concentrations of contaminants, the influence of GAC reactivation and IEX regenerant recycling increase</w:t>
      </w:r>
      <w:r w:rsidR="007E4BED">
        <w:rPr>
          <w:rFonts w:ascii="Times New Roman" w:hAnsi="Times New Roman"/>
          <w:sz w:val="24"/>
          <w:szCs w:val="24"/>
        </w:rPr>
        <w:t>d</w:t>
      </w:r>
      <w:r w:rsidRPr="00301629">
        <w:rPr>
          <w:rFonts w:ascii="Times New Roman" w:hAnsi="Times New Roman"/>
          <w:sz w:val="24"/>
          <w:szCs w:val="24"/>
        </w:rPr>
        <w:t xml:space="preserve">, powered in large part by natural gas combustion for heat and power, </w:t>
      </w:r>
      <w:r w:rsidR="007E4BED">
        <w:rPr>
          <w:rFonts w:ascii="Times New Roman" w:hAnsi="Times New Roman"/>
          <w:sz w:val="24"/>
          <w:szCs w:val="24"/>
        </w:rPr>
        <w:t>as well as</w:t>
      </w:r>
      <w:r w:rsidRPr="00301629">
        <w:rPr>
          <w:rFonts w:ascii="Times New Roman" w:hAnsi="Times New Roman"/>
          <w:sz w:val="24"/>
          <w:szCs w:val="24"/>
        </w:rPr>
        <w:t xml:space="preserve"> coal extraction in the case of GAC. At 70 µg/L PFAS, GAC reactivation and IEX regenerant recycling produce</w:t>
      </w:r>
      <w:r w:rsidR="007E4BED">
        <w:rPr>
          <w:rFonts w:ascii="Times New Roman" w:hAnsi="Times New Roman"/>
          <w:sz w:val="24"/>
          <w:szCs w:val="24"/>
        </w:rPr>
        <w:t>d</w:t>
      </w:r>
      <w:r w:rsidRPr="00301629">
        <w:rPr>
          <w:rFonts w:ascii="Times New Roman" w:hAnsi="Times New Roman"/>
          <w:sz w:val="24"/>
          <w:szCs w:val="24"/>
        </w:rPr>
        <w:t xml:space="preserve"> 30% to 40% and 10% to 15% of human health and ecotoxicity impacts, respectively.</w:t>
      </w:r>
    </w:p>
    <w:p w14:paraId="13F0197F" w14:textId="77777777" w:rsidR="00063A07" w:rsidRPr="00301629" w:rsidRDefault="00063A07" w:rsidP="00301629">
      <w:pPr>
        <w:spacing w:after="0" w:line="480" w:lineRule="auto"/>
        <w:rPr>
          <w:rFonts w:ascii="Times New Roman" w:hAnsi="Times New Roman"/>
          <w:sz w:val="24"/>
          <w:szCs w:val="24"/>
        </w:rPr>
      </w:pPr>
    </w:p>
    <w:p w14:paraId="7D0ED81A" w14:textId="4CB379A5" w:rsidR="00063A07" w:rsidRPr="007E4BED" w:rsidRDefault="007E4BED" w:rsidP="007E4BED">
      <w:pPr>
        <w:pStyle w:val="Heading3"/>
        <w:numPr>
          <w:ilvl w:val="1"/>
          <w:numId w:val="5"/>
        </w:numPr>
        <w:spacing w:before="0" w:line="480" w:lineRule="auto"/>
        <w:rPr>
          <w:rFonts w:ascii="Times New Roman" w:hAnsi="Times New Roman"/>
          <w:b/>
          <w:bCs/>
          <w:color w:val="auto"/>
        </w:rPr>
      </w:pPr>
      <w:r w:rsidRPr="007E4BED">
        <w:rPr>
          <w:rFonts w:ascii="Times New Roman" w:hAnsi="Times New Roman"/>
          <w:b/>
          <w:bCs/>
          <w:color w:val="auto"/>
        </w:rPr>
        <w:lastRenderedPageBreak/>
        <w:t xml:space="preserve"> </w:t>
      </w:r>
      <w:r w:rsidR="00063A07" w:rsidRPr="007E4BED">
        <w:rPr>
          <w:rFonts w:ascii="Times New Roman" w:hAnsi="Times New Roman"/>
          <w:b/>
          <w:bCs/>
          <w:color w:val="auto"/>
        </w:rPr>
        <w:t>Logistical considerations</w:t>
      </w:r>
    </w:p>
    <w:p w14:paraId="3D855BC6" w14:textId="77777777" w:rsidR="00063A07" w:rsidRPr="00301629" w:rsidRDefault="00063A07" w:rsidP="007E4BED">
      <w:pPr>
        <w:spacing w:after="0" w:line="480" w:lineRule="auto"/>
        <w:ind w:firstLine="720"/>
        <w:rPr>
          <w:rFonts w:ascii="Times New Roman" w:hAnsi="Times New Roman"/>
          <w:sz w:val="24"/>
          <w:szCs w:val="24"/>
        </w:rPr>
      </w:pPr>
      <w:r w:rsidRPr="00301629">
        <w:rPr>
          <w:rFonts w:ascii="Times New Roman" w:hAnsi="Times New Roman"/>
          <w:sz w:val="24"/>
          <w:szCs w:val="24"/>
        </w:rPr>
        <w:t>At higher contaminant concentrations at or above those modeled in this study, logistical considerations could outweigh environmental costs and benefits in system design decision-making. Under the current system design, at 700 µg/L, GAC may need to be replaced every 0.5 – 4 days, or IEX columns regenerated every 5 days. Even at 70 µg/L, GAC may need to be replaced every 1 – 3 weeks at the flow rate and configuration modeled in this study. Ion exchange resins could have the added benefit of greater adsorption capacity, and therefore slower column saturation cycles. On-site recycling of resin columns and regenerant solution could also provide benefits, reducing the logistical and financial burden of scheduling GAC replacement.</w:t>
      </w:r>
    </w:p>
    <w:p w14:paraId="401E9E5C" w14:textId="77777777" w:rsidR="00063A07" w:rsidRPr="00301629" w:rsidRDefault="00063A07" w:rsidP="00301629">
      <w:pPr>
        <w:spacing w:after="0" w:line="480" w:lineRule="auto"/>
        <w:rPr>
          <w:rFonts w:ascii="Times New Roman" w:hAnsi="Times New Roman"/>
          <w:sz w:val="24"/>
          <w:szCs w:val="24"/>
        </w:rPr>
      </w:pPr>
    </w:p>
    <w:p w14:paraId="71AE0AAF" w14:textId="3DD699EE" w:rsidR="00063A07" w:rsidRPr="0047620C" w:rsidRDefault="0047620C" w:rsidP="007E4BED">
      <w:pPr>
        <w:pStyle w:val="Heading3"/>
        <w:numPr>
          <w:ilvl w:val="1"/>
          <w:numId w:val="5"/>
        </w:numPr>
        <w:spacing w:before="0" w:line="480" w:lineRule="auto"/>
        <w:rPr>
          <w:rFonts w:ascii="Times New Roman" w:hAnsi="Times New Roman"/>
          <w:b/>
          <w:bCs/>
          <w:color w:val="auto"/>
        </w:rPr>
      </w:pPr>
      <w:r>
        <w:rPr>
          <w:rFonts w:ascii="Times New Roman" w:hAnsi="Times New Roman"/>
          <w:b/>
          <w:bCs/>
          <w:color w:val="auto"/>
        </w:rPr>
        <w:t xml:space="preserve"> </w:t>
      </w:r>
      <w:r w:rsidR="00063A07" w:rsidRPr="0047620C">
        <w:rPr>
          <w:rFonts w:ascii="Times New Roman" w:hAnsi="Times New Roman"/>
          <w:b/>
          <w:bCs/>
          <w:color w:val="auto"/>
        </w:rPr>
        <w:t xml:space="preserve">Comparing </w:t>
      </w:r>
      <w:r w:rsidR="005C1DDD" w:rsidRPr="0047620C">
        <w:rPr>
          <w:rFonts w:ascii="Times New Roman" w:hAnsi="Times New Roman"/>
          <w:b/>
          <w:bCs/>
          <w:color w:val="auto"/>
        </w:rPr>
        <w:t xml:space="preserve">groundwater </w:t>
      </w:r>
      <w:r w:rsidR="002D549E" w:rsidRPr="0047620C">
        <w:rPr>
          <w:rFonts w:ascii="Times New Roman" w:hAnsi="Times New Roman"/>
          <w:b/>
          <w:bCs/>
          <w:color w:val="auto"/>
        </w:rPr>
        <w:t>treatment</w:t>
      </w:r>
      <w:r w:rsidR="00063A07" w:rsidRPr="0047620C">
        <w:rPr>
          <w:rFonts w:ascii="Times New Roman" w:hAnsi="Times New Roman"/>
          <w:b/>
          <w:bCs/>
          <w:color w:val="auto"/>
        </w:rPr>
        <w:t xml:space="preserve"> and bottled water scenarios</w:t>
      </w:r>
    </w:p>
    <w:p w14:paraId="3CDCBE8E" w14:textId="2123CBEA" w:rsidR="00063A07" w:rsidRPr="00301629" w:rsidRDefault="00063A07" w:rsidP="0047620C">
      <w:pPr>
        <w:spacing w:after="0" w:line="480" w:lineRule="auto"/>
        <w:ind w:firstLine="720"/>
        <w:rPr>
          <w:rFonts w:ascii="Times New Roman" w:hAnsi="Times New Roman"/>
          <w:sz w:val="24"/>
          <w:szCs w:val="24"/>
        </w:rPr>
      </w:pPr>
      <w:r w:rsidRPr="00301629">
        <w:rPr>
          <w:rFonts w:ascii="Times New Roman" w:hAnsi="Times New Roman"/>
          <w:sz w:val="24"/>
          <w:szCs w:val="24"/>
        </w:rPr>
        <w:t>On a functional unit basis, life cycle impacts of bottled water far surpass</w:t>
      </w:r>
      <w:r w:rsidR="00BC349B">
        <w:rPr>
          <w:rFonts w:ascii="Times New Roman" w:hAnsi="Times New Roman"/>
          <w:sz w:val="24"/>
          <w:szCs w:val="24"/>
        </w:rPr>
        <w:t>ed</w:t>
      </w:r>
      <w:r w:rsidRPr="00301629">
        <w:rPr>
          <w:rFonts w:ascii="Times New Roman" w:hAnsi="Times New Roman"/>
          <w:sz w:val="24"/>
          <w:szCs w:val="24"/>
        </w:rPr>
        <w:t xml:space="preserve"> those of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However, only 2% of the water supplied by the contaminated </w:t>
      </w:r>
      <w:r w:rsidR="00F24C09" w:rsidRPr="00301629">
        <w:rPr>
          <w:rFonts w:ascii="Times New Roman" w:hAnsi="Times New Roman"/>
          <w:sz w:val="24"/>
          <w:szCs w:val="24"/>
        </w:rPr>
        <w:t xml:space="preserve">well </w:t>
      </w:r>
      <w:r w:rsidRPr="00301629">
        <w:rPr>
          <w:rFonts w:ascii="Times New Roman" w:hAnsi="Times New Roman"/>
          <w:sz w:val="24"/>
          <w:szCs w:val="24"/>
        </w:rPr>
        <w:t>is expected to be</w:t>
      </w:r>
      <w:r w:rsidR="00F24C09" w:rsidRPr="00301629">
        <w:rPr>
          <w:rFonts w:ascii="Times New Roman" w:hAnsi="Times New Roman"/>
          <w:sz w:val="24"/>
          <w:szCs w:val="24"/>
        </w:rPr>
        <w:t xml:space="preserve"> </w:t>
      </w:r>
      <w:r w:rsidRPr="00301629">
        <w:rPr>
          <w:rFonts w:ascii="Times New Roman" w:hAnsi="Times New Roman"/>
          <w:sz w:val="24"/>
          <w:szCs w:val="24"/>
        </w:rPr>
        <w:t xml:space="preserve">consumed as drinking water (the primary mode of exposure to PFAS considered by the EPA). </w:t>
      </w:r>
      <w:bookmarkStart w:id="24" w:name="_Hlk504994402"/>
      <w:r w:rsidR="00735B1D" w:rsidRPr="00301629">
        <w:rPr>
          <w:rFonts w:ascii="Times New Roman" w:hAnsi="Times New Roman"/>
          <w:sz w:val="24"/>
          <w:szCs w:val="24"/>
        </w:rPr>
        <w:t xml:space="preserve">The remaining water is used for a wide range of services, such as washing clothes, bathing, flushing toilets, watering plants, and aircraft maintenance. Though it is possible that some of these activities could result in additional exposure (wearing clothes washed with contaminated water, walking across a lawn watered with contaminated water, etc.), we expect the majority of impacts to human health to occur via direct consumption. </w:t>
      </w:r>
      <w:bookmarkEnd w:id="24"/>
      <w:r w:rsidRPr="00301629">
        <w:rPr>
          <w:rFonts w:ascii="Times New Roman" w:hAnsi="Times New Roman"/>
          <w:sz w:val="24"/>
          <w:szCs w:val="24"/>
        </w:rPr>
        <w:t>Supplying drinking water to the subsets of the total site population considered in our scenarios reduce</w:t>
      </w:r>
      <w:r w:rsidR="00BC349B">
        <w:rPr>
          <w:rFonts w:ascii="Times New Roman" w:hAnsi="Times New Roman"/>
          <w:sz w:val="24"/>
          <w:szCs w:val="24"/>
        </w:rPr>
        <w:t>d</w:t>
      </w:r>
      <w:r w:rsidRPr="00301629">
        <w:rPr>
          <w:rFonts w:ascii="Times New Roman" w:hAnsi="Times New Roman"/>
          <w:sz w:val="24"/>
          <w:szCs w:val="24"/>
        </w:rPr>
        <w:t xml:space="preserve"> the fraction of contaminated water replaced by bottled water to 0.008% (sensitive </w:t>
      </w:r>
      <w:proofErr w:type="gramStart"/>
      <w:r w:rsidRPr="00301629">
        <w:rPr>
          <w:rFonts w:ascii="Times New Roman" w:hAnsi="Times New Roman"/>
          <w:sz w:val="24"/>
          <w:szCs w:val="24"/>
        </w:rPr>
        <w:t>residents</w:t>
      </w:r>
      <w:proofErr w:type="gramEnd"/>
      <w:r w:rsidRPr="00301629">
        <w:rPr>
          <w:rFonts w:ascii="Times New Roman" w:hAnsi="Times New Roman"/>
          <w:sz w:val="24"/>
          <w:szCs w:val="24"/>
        </w:rPr>
        <w:t xml:space="preserve"> scenario) or 0.2% (residents and sensitive nonresidents scenario). Providing these smaller quantities of bottled </w:t>
      </w:r>
      <w:r w:rsidRPr="00301629">
        <w:rPr>
          <w:rFonts w:ascii="Times New Roman" w:hAnsi="Times New Roman"/>
          <w:sz w:val="24"/>
          <w:szCs w:val="24"/>
        </w:rPr>
        <w:lastRenderedPageBreak/>
        <w:t xml:space="preserve">water to sensitive fractions of the site population could result in similar or reduced life-cycle impacts compared to full </w:t>
      </w:r>
      <w:r w:rsidR="002D549E" w:rsidRPr="00301629">
        <w:rPr>
          <w:rFonts w:ascii="Times New Roman" w:hAnsi="Times New Roman"/>
          <w:sz w:val="24"/>
          <w:szCs w:val="24"/>
        </w:rPr>
        <w:t>treatment</w:t>
      </w:r>
      <w:r w:rsidRPr="00301629">
        <w:rPr>
          <w:rFonts w:ascii="Times New Roman" w:hAnsi="Times New Roman"/>
          <w:sz w:val="24"/>
          <w:szCs w:val="24"/>
        </w:rPr>
        <w:t xml:space="preserve"> of groundwater at the well pump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4).</w:t>
      </w:r>
    </w:p>
    <w:p w14:paraId="0AB595A3" w14:textId="2683292B" w:rsidR="00063A07" w:rsidRPr="00301629" w:rsidRDefault="00063A07" w:rsidP="00BC349B">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Supplying bottled water to sensitive populations (infants and nursing and pregnant mothers) in lieu of implementing full-scale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can be examined from a risk analysis perspective </w:t>
      </w:r>
      <w:proofErr w:type="gramStart"/>
      <w:r w:rsidRPr="00301629">
        <w:rPr>
          <w:rFonts w:ascii="Times New Roman" w:hAnsi="Times New Roman"/>
          <w:sz w:val="24"/>
          <w:szCs w:val="24"/>
        </w:rPr>
        <w:t>on the basis of</w:t>
      </w:r>
      <w:proofErr w:type="gramEnd"/>
      <w:r w:rsidRPr="00301629">
        <w:rPr>
          <w:rFonts w:ascii="Times New Roman" w:hAnsi="Times New Roman"/>
          <w:sz w:val="24"/>
          <w:szCs w:val="24"/>
        </w:rPr>
        <w:t xml:space="preserve"> expected damage to the population exposed to contaminated groundwater. Our results show that average life cycle human health impacts are higher from GAC-based </w:t>
      </w:r>
      <w:r w:rsidR="002D549E" w:rsidRPr="00301629">
        <w:rPr>
          <w:rFonts w:ascii="Times New Roman" w:hAnsi="Times New Roman"/>
          <w:sz w:val="24"/>
          <w:szCs w:val="24"/>
        </w:rPr>
        <w:t>treatment</w:t>
      </w:r>
      <w:r w:rsidRPr="00301629">
        <w:rPr>
          <w:rFonts w:ascii="Times New Roman" w:hAnsi="Times New Roman"/>
          <w:sz w:val="24"/>
          <w:szCs w:val="24"/>
        </w:rPr>
        <w:t xml:space="preserve"> than from supplying bottled water to the sensitive fraction of permanent residents at WPAFB. This accounting does not </w:t>
      </w:r>
      <w:proofErr w:type="gramStart"/>
      <w:r w:rsidRPr="00301629">
        <w:rPr>
          <w:rFonts w:ascii="Times New Roman" w:hAnsi="Times New Roman"/>
          <w:sz w:val="24"/>
          <w:szCs w:val="24"/>
        </w:rPr>
        <w:t>take into account</w:t>
      </w:r>
      <w:proofErr w:type="gramEnd"/>
      <w:r w:rsidRPr="00301629">
        <w:rPr>
          <w:rFonts w:ascii="Times New Roman" w:hAnsi="Times New Roman"/>
          <w:sz w:val="24"/>
          <w:szCs w:val="24"/>
        </w:rPr>
        <w:t xml:space="preserve"> the potential health impacts of consuming PFAS-contaminated water which are not </w:t>
      </w:r>
      <w:r w:rsidR="0009149E" w:rsidRPr="00301629">
        <w:rPr>
          <w:rFonts w:ascii="Times New Roman" w:hAnsi="Times New Roman"/>
          <w:sz w:val="24"/>
          <w:szCs w:val="24"/>
        </w:rPr>
        <w:t xml:space="preserve">fully </w:t>
      </w:r>
      <w:r w:rsidRPr="00301629">
        <w:rPr>
          <w:rFonts w:ascii="Times New Roman" w:hAnsi="Times New Roman"/>
          <w:sz w:val="24"/>
          <w:szCs w:val="24"/>
        </w:rPr>
        <w:t xml:space="preserve">understood and thus difficult to quantify. In our sensitive </w:t>
      </w:r>
      <w:proofErr w:type="gramStart"/>
      <w:r w:rsidRPr="00301629">
        <w:rPr>
          <w:rFonts w:ascii="Times New Roman" w:hAnsi="Times New Roman"/>
          <w:sz w:val="24"/>
          <w:szCs w:val="24"/>
        </w:rPr>
        <w:t>residents</w:t>
      </w:r>
      <w:proofErr w:type="gramEnd"/>
      <w:r w:rsidRPr="00301629">
        <w:rPr>
          <w:rFonts w:ascii="Times New Roman" w:hAnsi="Times New Roman"/>
          <w:sz w:val="24"/>
          <w:szCs w:val="24"/>
        </w:rPr>
        <w:t xml:space="preserve"> scenario, implementing GAC-based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would reduce net health impacts if the expected incidence rate of health effects from PFAS-contaminated groundwater is higher than </w:t>
      </w:r>
      <w:r w:rsidR="008241C5">
        <w:rPr>
          <w:rFonts w:ascii="Times New Roman" w:hAnsi="Times New Roman"/>
          <w:sz w:val="24"/>
          <w:szCs w:val="24"/>
        </w:rPr>
        <w:t>two to three</w:t>
      </w:r>
      <w:r w:rsidRPr="00301629">
        <w:rPr>
          <w:rFonts w:ascii="Times New Roman" w:hAnsi="Times New Roman"/>
          <w:sz w:val="24"/>
          <w:szCs w:val="24"/>
        </w:rPr>
        <w:t xml:space="preserve"> cases per 1000 people. Though the actual incidence rate of PFAS-related health impacts is unknown, current evidence suggests that at the baseline concentration in this study (0.7 µg/L), incidence of adverse health effects is far below </w:t>
      </w:r>
      <w:r w:rsidR="008241C5">
        <w:rPr>
          <w:rFonts w:ascii="Times New Roman" w:hAnsi="Times New Roman"/>
          <w:sz w:val="24"/>
          <w:szCs w:val="24"/>
        </w:rPr>
        <w:t>three</w:t>
      </w:r>
      <w:r w:rsidRPr="00301629">
        <w:rPr>
          <w:rFonts w:ascii="Times New Roman" w:hAnsi="Times New Roman"/>
          <w:sz w:val="24"/>
          <w:szCs w:val="24"/>
        </w:rPr>
        <w:t xml:space="preserve"> cases per 1000 among the non-sensitive population </w:t>
      </w:r>
      <w:bookmarkStart w:id="25" w:name="Mendeley_Bookmark_ShRkTiMIzs"/>
      <w:r w:rsidRPr="00301629">
        <w:rPr>
          <w:rFonts w:ascii="Times New Roman" w:hAnsi="Times New Roman"/>
          <w:sz w:val="24"/>
          <w:szCs w:val="24"/>
        </w:rPr>
        <w:t>(USEPA 2016a)</w:t>
      </w:r>
      <w:bookmarkEnd w:id="25"/>
      <w:r w:rsidRPr="00301629">
        <w:rPr>
          <w:rFonts w:ascii="Times New Roman" w:hAnsi="Times New Roman"/>
          <w:sz w:val="24"/>
          <w:szCs w:val="24"/>
        </w:rPr>
        <w:t>.</w:t>
      </w:r>
    </w:p>
    <w:p w14:paraId="733A394C" w14:textId="77777777" w:rsidR="00063A07" w:rsidRPr="00301629" w:rsidRDefault="00063A07" w:rsidP="00301629">
      <w:pPr>
        <w:spacing w:after="0" w:line="480" w:lineRule="auto"/>
        <w:rPr>
          <w:rFonts w:ascii="Times New Roman" w:hAnsi="Times New Roman"/>
          <w:sz w:val="24"/>
          <w:szCs w:val="24"/>
        </w:rPr>
      </w:pPr>
    </w:p>
    <w:p w14:paraId="1BB50376" w14:textId="393F9437" w:rsidR="00063A07" w:rsidRPr="00ED08F8" w:rsidRDefault="00ED08F8" w:rsidP="007E4BED">
      <w:pPr>
        <w:pStyle w:val="Heading3"/>
        <w:numPr>
          <w:ilvl w:val="1"/>
          <w:numId w:val="5"/>
        </w:numPr>
        <w:spacing w:before="0" w:line="480" w:lineRule="auto"/>
        <w:rPr>
          <w:rFonts w:ascii="Times New Roman" w:hAnsi="Times New Roman"/>
          <w:b/>
          <w:bCs/>
          <w:color w:val="auto"/>
        </w:rPr>
      </w:pPr>
      <w:r>
        <w:rPr>
          <w:rFonts w:ascii="Times New Roman" w:hAnsi="Times New Roman"/>
          <w:b/>
          <w:bCs/>
          <w:color w:val="auto"/>
        </w:rPr>
        <w:t xml:space="preserve"> </w:t>
      </w:r>
      <w:r w:rsidR="00063A07" w:rsidRPr="00ED08F8">
        <w:rPr>
          <w:rFonts w:ascii="Times New Roman" w:hAnsi="Times New Roman"/>
          <w:b/>
          <w:bCs/>
          <w:color w:val="auto"/>
        </w:rPr>
        <w:t>Sensitivity assessments</w:t>
      </w:r>
    </w:p>
    <w:p w14:paraId="0A527A3F" w14:textId="10CF2560" w:rsidR="00063A07" w:rsidRPr="00301629" w:rsidRDefault="00063A07" w:rsidP="00ED08F8">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Alternate criteria for bottled water supply rates, or alternate demand for bottled water by the affected population, could lead to variability in the impacts associated with a bottled water supply program. Disaster preparedness documents cite a broad range of possible supply rates for clean water depending on the population affected, environmental conditions, expected uses of the water, and the duration of the supply </w:t>
      </w:r>
      <w:bookmarkStart w:id="26" w:name="Mendeley_Bookmark_13ldhSXgqT"/>
      <w:r w:rsidRPr="00301629">
        <w:rPr>
          <w:rFonts w:ascii="Times New Roman" w:hAnsi="Times New Roman"/>
          <w:sz w:val="24"/>
          <w:szCs w:val="24"/>
        </w:rPr>
        <w:t>(USEPA 2011)</w:t>
      </w:r>
      <w:bookmarkEnd w:id="26"/>
      <w:r w:rsidRPr="00301629">
        <w:rPr>
          <w:rFonts w:ascii="Times New Roman" w:hAnsi="Times New Roman"/>
          <w:sz w:val="24"/>
          <w:szCs w:val="24"/>
        </w:rPr>
        <w:t xml:space="preserve">. A plausible high-end estimate of 15 liters per person per day would roughly triple the </w:t>
      </w:r>
      <w:proofErr w:type="gramStart"/>
      <w:r w:rsidRPr="00301629">
        <w:rPr>
          <w:rFonts w:ascii="Times New Roman" w:hAnsi="Times New Roman"/>
          <w:sz w:val="24"/>
          <w:szCs w:val="24"/>
        </w:rPr>
        <w:t>life-cycle</w:t>
      </w:r>
      <w:proofErr w:type="gramEnd"/>
      <w:r w:rsidRPr="00301629">
        <w:rPr>
          <w:rFonts w:ascii="Times New Roman" w:hAnsi="Times New Roman"/>
          <w:sz w:val="24"/>
          <w:szCs w:val="24"/>
        </w:rPr>
        <w:t xml:space="preserve"> impacts of bottled water supply. However, </w:t>
      </w:r>
      <w:r w:rsidRPr="00301629">
        <w:rPr>
          <w:rFonts w:ascii="Times New Roman" w:hAnsi="Times New Roman"/>
          <w:sz w:val="24"/>
          <w:szCs w:val="24"/>
        </w:rPr>
        <w:lastRenderedPageBreak/>
        <w:t xml:space="preserve">with the difference between scenarios and confidence intervals for results spanning orders of magnitude, this would have limited effect on the conclusions of this study. At 15 liters per person per day, providing bottled water to sensitive residents would still have lower life cycle impacts than any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scenario, and impacts of bottled water supply to all residents and sensitive nonresidents would still be within the 90% confidence intervals of impacts from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at higher contaminant concentrations.  </w:t>
      </w:r>
    </w:p>
    <w:p w14:paraId="4020C1A8" w14:textId="09DE5732" w:rsidR="00063A07" w:rsidRPr="00301629" w:rsidRDefault="00063A07" w:rsidP="00201953">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We find that at the rate of </w:t>
      </w:r>
      <w:r w:rsidR="00201953">
        <w:rPr>
          <w:rFonts w:ascii="Times New Roman" w:hAnsi="Times New Roman"/>
          <w:sz w:val="24"/>
          <w:szCs w:val="24"/>
        </w:rPr>
        <w:t>five</w:t>
      </w:r>
      <w:r w:rsidRPr="00301629">
        <w:rPr>
          <w:rFonts w:ascii="Times New Roman" w:hAnsi="Times New Roman"/>
          <w:sz w:val="24"/>
          <w:szCs w:val="24"/>
        </w:rPr>
        <w:t xml:space="preserve"> liters per person per day, supplying bottled drinking water to between 8% and 16% of the total population would have equivalent human health impacts to a </w:t>
      </w:r>
      <w:r w:rsidR="002D549E" w:rsidRPr="00301629">
        <w:rPr>
          <w:rFonts w:ascii="Times New Roman" w:hAnsi="Times New Roman"/>
          <w:sz w:val="24"/>
          <w:szCs w:val="24"/>
        </w:rPr>
        <w:t>treatment</w:t>
      </w:r>
      <w:r w:rsidRPr="00301629">
        <w:rPr>
          <w:rFonts w:ascii="Times New Roman" w:hAnsi="Times New Roman"/>
          <w:sz w:val="24"/>
          <w:szCs w:val="24"/>
        </w:rPr>
        <w:t xml:space="preserve"> system treating 100% of water extracted from the ground. Similarly, climate change impacts of bottled water supply and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are equivalent when drinking water is supplied for 7% – 12% of the population (</w:t>
      </w:r>
      <w:r w:rsidR="001A6011" w:rsidRPr="00301629">
        <w:rPr>
          <w:rFonts w:ascii="Times New Roman" w:hAnsi="Times New Roman"/>
          <w:sz w:val="24"/>
          <w:szCs w:val="24"/>
        </w:rPr>
        <w:t xml:space="preserve">a total of </w:t>
      </w:r>
      <w:r w:rsidRPr="00301629">
        <w:rPr>
          <w:rFonts w:ascii="Times New Roman" w:hAnsi="Times New Roman"/>
          <w:sz w:val="24"/>
          <w:szCs w:val="24"/>
        </w:rPr>
        <w:t>5.5 – 10 m</w:t>
      </w:r>
      <w:r w:rsidRPr="00301629">
        <w:rPr>
          <w:rFonts w:ascii="Times New Roman" w:hAnsi="Times New Roman"/>
          <w:sz w:val="24"/>
          <w:szCs w:val="24"/>
          <w:vertAlign w:val="superscript"/>
        </w:rPr>
        <w:t>3</w:t>
      </w:r>
      <w:r w:rsidRPr="00301629">
        <w:rPr>
          <w:rFonts w:ascii="Times New Roman" w:hAnsi="Times New Roman"/>
          <w:sz w:val="24"/>
          <w:szCs w:val="24"/>
        </w:rPr>
        <w:t xml:space="preserve"> per day). As previously stated, the sensitive portion of the population is comprised of nursing mothers, pregnant </w:t>
      </w:r>
      <w:proofErr w:type="gramStart"/>
      <w:r w:rsidRPr="00301629">
        <w:rPr>
          <w:rFonts w:ascii="Times New Roman" w:hAnsi="Times New Roman"/>
          <w:sz w:val="24"/>
          <w:szCs w:val="24"/>
        </w:rPr>
        <w:t>females</w:t>
      </w:r>
      <w:proofErr w:type="gramEnd"/>
      <w:r w:rsidRPr="00301629">
        <w:rPr>
          <w:rFonts w:ascii="Times New Roman" w:hAnsi="Times New Roman"/>
          <w:sz w:val="24"/>
          <w:szCs w:val="24"/>
        </w:rPr>
        <w:t xml:space="preserve"> and </w:t>
      </w:r>
      <w:r w:rsidR="00922A28" w:rsidRPr="00301629">
        <w:rPr>
          <w:rFonts w:ascii="Times New Roman" w:hAnsi="Times New Roman"/>
          <w:sz w:val="24"/>
          <w:szCs w:val="24"/>
        </w:rPr>
        <w:t xml:space="preserve">young </w:t>
      </w:r>
      <w:r w:rsidRPr="00301629">
        <w:rPr>
          <w:rFonts w:ascii="Times New Roman" w:hAnsi="Times New Roman"/>
          <w:sz w:val="24"/>
          <w:szCs w:val="24"/>
        </w:rPr>
        <w:t>children.  This latter segment of the sensitive population is unlikely to consume 5 L, much less 15 L, of water per day.</w:t>
      </w:r>
    </w:p>
    <w:p w14:paraId="2305DFF9" w14:textId="40A4C709" w:rsidR="00063A07" w:rsidRPr="00301629" w:rsidRDefault="00063A07" w:rsidP="00201953">
      <w:pPr>
        <w:spacing w:after="0" w:line="480" w:lineRule="auto"/>
        <w:ind w:firstLine="720"/>
        <w:rPr>
          <w:rFonts w:ascii="Times New Roman" w:hAnsi="Times New Roman"/>
          <w:sz w:val="24"/>
          <w:szCs w:val="24"/>
        </w:rPr>
      </w:pPr>
      <w:r w:rsidRPr="00301629">
        <w:rPr>
          <w:rFonts w:ascii="Times New Roman" w:hAnsi="Times New Roman"/>
          <w:sz w:val="24"/>
          <w:szCs w:val="24"/>
        </w:rPr>
        <w:t>Though we do not consider the disposal of water bottles in our analysis, a sensitivity analysis suggests that including curbside pickup and disposal in a municipal landfill could increase the climate change impacts from bottled water by 22 kg</w:t>
      </w:r>
      <w:r w:rsidR="00DA4DE3">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DA4DE3">
        <w:rPr>
          <w:rFonts w:ascii="Times New Roman" w:hAnsi="Times New Roman"/>
          <w:sz w:val="24"/>
          <w:szCs w:val="24"/>
          <w:vertAlign w:val="subscript"/>
        </w:rPr>
        <w:t xml:space="preserve"> </w:t>
      </w:r>
      <w:r w:rsidRPr="00301629">
        <w:rPr>
          <w:rFonts w:ascii="Times New Roman" w:hAnsi="Times New Roman"/>
          <w:sz w:val="24"/>
          <w:szCs w:val="24"/>
        </w:rPr>
        <w:t>e</w:t>
      </w:r>
      <w:r w:rsidR="00DA4DE3">
        <w:rPr>
          <w:rFonts w:ascii="Times New Roman" w:hAnsi="Times New Roman"/>
          <w:sz w:val="24"/>
          <w:szCs w:val="24"/>
        </w:rPr>
        <w:t>q</w:t>
      </w:r>
      <w:r w:rsidRPr="00301629">
        <w:rPr>
          <w:rFonts w:ascii="Times New Roman" w:hAnsi="Times New Roman"/>
          <w:sz w:val="24"/>
          <w:szCs w:val="24"/>
        </w:rPr>
        <w:t>/m</w:t>
      </w:r>
      <w:r w:rsidRPr="00301629">
        <w:rPr>
          <w:rFonts w:ascii="Times New Roman" w:hAnsi="Times New Roman"/>
          <w:sz w:val="24"/>
          <w:szCs w:val="24"/>
          <w:vertAlign w:val="superscript"/>
        </w:rPr>
        <w:t>3</w:t>
      </w:r>
      <w:r w:rsidRPr="00301629">
        <w:rPr>
          <w:rFonts w:ascii="Times New Roman" w:hAnsi="Times New Roman"/>
          <w:sz w:val="24"/>
          <w:szCs w:val="24"/>
        </w:rPr>
        <w:t xml:space="preserve">, or 9% – 16%. Recycling of some portion of waste bottles could mitigate that impact. </w:t>
      </w:r>
      <w:proofErr w:type="spellStart"/>
      <w:r w:rsidRPr="00301629">
        <w:rPr>
          <w:rFonts w:ascii="Times New Roman" w:hAnsi="Times New Roman"/>
          <w:sz w:val="24"/>
          <w:szCs w:val="24"/>
        </w:rPr>
        <w:t>Garfi</w:t>
      </w:r>
      <w:proofErr w:type="spellEnd"/>
      <w:r w:rsidRPr="00301629">
        <w:rPr>
          <w:rFonts w:ascii="Times New Roman" w:hAnsi="Times New Roman"/>
          <w:sz w:val="24"/>
          <w:szCs w:val="24"/>
        </w:rPr>
        <w:t xml:space="preserve"> et al. </w:t>
      </w:r>
      <w:r w:rsidR="00DA4DE3">
        <w:rPr>
          <w:rFonts w:ascii="Times New Roman" w:hAnsi="Times New Roman"/>
          <w:sz w:val="24"/>
          <w:szCs w:val="24"/>
        </w:rPr>
        <w:t xml:space="preserve">(2016) </w:t>
      </w:r>
      <w:r w:rsidRPr="00301629">
        <w:rPr>
          <w:rFonts w:ascii="Times New Roman" w:hAnsi="Times New Roman"/>
          <w:sz w:val="24"/>
          <w:szCs w:val="24"/>
        </w:rPr>
        <w:t>found that life cycle greenhouse gas emissions of bottled water, including the disposal phase, decreased from 79 kg</w:t>
      </w:r>
      <w:r w:rsidR="00DA4DE3">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DA4DE3">
        <w:rPr>
          <w:rFonts w:ascii="Times New Roman" w:hAnsi="Times New Roman"/>
          <w:sz w:val="24"/>
          <w:szCs w:val="24"/>
          <w:vertAlign w:val="subscript"/>
        </w:rPr>
        <w:t xml:space="preserve"> </w:t>
      </w:r>
      <w:r w:rsidRPr="00301629">
        <w:rPr>
          <w:rFonts w:ascii="Times New Roman" w:hAnsi="Times New Roman"/>
          <w:sz w:val="24"/>
          <w:szCs w:val="24"/>
        </w:rPr>
        <w:t>e</w:t>
      </w:r>
      <w:r w:rsidR="00DA4DE3">
        <w:rPr>
          <w:rFonts w:ascii="Times New Roman" w:hAnsi="Times New Roman"/>
          <w:sz w:val="24"/>
          <w:szCs w:val="24"/>
        </w:rPr>
        <w:t>q</w:t>
      </w:r>
      <w:r w:rsidRPr="00301629">
        <w:rPr>
          <w:rFonts w:ascii="Times New Roman" w:hAnsi="Times New Roman"/>
          <w:sz w:val="24"/>
          <w:szCs w:val="24"/>
        </w:rPr>
        <w:t>/m</w:t>
      </w:r>
      <w:r w:rsidRPr="00301629">
        <w:rPr>
          <w:rFonts w:ascii="Times New Roman" w:hAnsi="Times New Roman"/>
          <w:sz w:val="24"/>
          <w:szCs w:val="24"/>
          <w:vertAlign w:val="superscript"/>
        </w:rPr>
        <w:t xml:space="preserve">3 </w:t>
      </w:r>
      <w:r w:rsidRPr="00301629">
        <w:rPr>
          <w:rFonts w:ascii="Times New Roman" w:hAnsi="Times New Roman"/>
          <w:sz w:val="24"/>
          <w:szCs w:val="24"/>
        </w:rPr>
        <w:t>to 71 kg</w:t>
      </w:r>
      <w:r w:rsidR="00DA4DE3">
        <w:rPr>
          <w:rFonts w:ascii="Times New Roman" w:hAnsi="Times New Roman"/>
          <w:sz w:val="24"/>
          <w:szCs w:val="24"/>
        </w:rPr>
        <w:t xml:space="preserve"> </w:t>
      </w:r>
      <w:r w:rsidRPr="00301629">
        <w:rPr>
          <w:rFonts w:ascii="Times New Roman" w:hAnsi="Times New Roman"/>
          <w:sz w:val="24"/>
          <w:szCs w:val="24"/>
        </w:rPr>
        <w:t>CO</w:t>
      </w:r>
      <w:r w:rsidRPr="00301629">
        <w:rPr>
          <w:rFonts w:ascii="Times New Roman" w:hAnsi="Times New Roman"/>
          <w:sz w:val="24"/>
          <w:szCs w:val="24"/>
          <w:vertAlign w:val="subscript"/>
        </w:rPr>
        <w:t>2</w:t>
      </w:r>
      <w:r w:rsidR="00DA4DE3">
        <w:rPr>
          <w:rFonts w:ascii="Times New Roman" w:hAnsi="Times New Roman"/>
          <w:sz w:val="24"/>
          <w:szCs w:val="24"/>
          <w:vertAlign w:val="subscript"/>
        </w:rPr>
        <w:t xml:space="preserve"> </w:t>
      </w:r>
      <w:r w:rsidRPr="00301629">
        <w:rPr>
          <w:rFonts w:ascii="Times New Roman" w:hAnsi="Times New Roman"/>
          <w:sz w:val="24"/>
          <w:szCs w:val="24"/>
        </w:rPr>
        <w:t>e</w:t>
      </w:r>
      <w:r w:rsidR="00DA4DE3">
        <w:rPr>
          <w:rFonts w:ascii="Times New Roman" w:hAnsi="Times New Roman"/>
          <w:sz w:val="24"/>
          <w:szCs w:val="24"/>
        </w:rPr>
        <w:t>q</w:t>
      </w:r>
      <w:r w:rsidRPr="00301629">
        <w:rPr>
          <w:rFonts w:ascii="Times New Roman" w:hAnsi="Times New Roman"/>
          <w:sz w:val="24"/>
          <w:szCs w:val="24"/>
        </w:rPr>
        <w:t>/m</w:t>
      </w:r>
      <w:r w:rsidRPr="00301629">
        <w:rPr>
          <w:rFonts w:ascii="Times New Roman" w:hAnsi="Times New Roman"/>
          <w:sz w:val="24"/>
          <w:szCs w:val="24"/>
          <w:vertAlign w:val="superscript"/>
        </w:rPr>
        <w:t xml:space="preserve">3 </w:t>
      </w:r>
      <w:r w:rsidRPr="00301629">
        <w:rPr>
          <w:rFonts w:ascii="Times New Roman" w:hAnsi="Times New Roman"/>
          <w:sz w:val="24"/>
          <w:szCs w:val="24"/>
        </w:rPr>
        <w:t xml:space="preserve">when the modeled recycling rate increased from 25% to 75%. Unfortunately, like many prior life cycle assessment studies of bottled water, </w:t>
      </w:r>
      <w:proofErr w:type="spellStart"/>
      <w:r w:rsidRPr="00301629">
        <w:rPr>
          <w:rFonts w:ascii="Times New Roman" w:hAnsi="Times New Roman"/>
          <w:sz w:val="24"/>
          <w:szCs w:val="24"/>
        </w:rPr>
        <w:t>Garfi</w:t>
      </w:r>
      <w:proofErr w:type="spellEnd"/>
      <w:r w:rsidRPr="00301629">
        <w:rPr>
          <w:rFonts w:ascii="Times New Roman" w:hAnsi="Times New Roman"/>
          <w:sz w:val="24"/>
          <w:szCs w:val="24"/>
        </w:rPr>
        <w:t xml:space="preserve"> et al. d</w:t>
      </w:r>
      <w:r w:rsidR="00DA4DE3">
        <w:rPr>
          <w:rFonts w:ascii="Times New Roman" w:hAnsi="Times New Roman"/>
          <w:sz w:val="24"/>
          <w:szCs w:val="24"/>
        </w:rPr>
        <w:t>id</w:t>
      </w:r>
      <w:r w:rsidRPr="00301629">
        <w:rPr>
          <w:rFonts w:ascii="Times New Roman" w:hAnsi="Times New Roman"/>
          <w:sz w:val="24"/>
          <w:szCs w:val="24"/>
        </w:rPr>
        <w:t xml:space="preserve"> not report outcomes for human health impacts. Our sensitivity analysis suggests that the </w:t>
      </w:r>
      <w:r w:rsidRPr="00301629">
        <w:rPr>
          <w:rFonts w:ascii="Times New Roman" w:hAnsi="Times New Roman"/>
          <w:sz w:val="24"/>
          <w:szCs w:val="24"/>
        </w:rPr>
        <w:lastRenderedPageBreak/>
        <w:t>disposal phase could contribute up to 1.6</w:t>
      </w:r>
      <w:r w:rsidR="00E90DBD" w:rsidRPr="00301629">
        <w:rPr>
          <w:rFonts w:ascii="Times New Roman" w:hAnsi="Times New Roman"/>
          <w:sz w:val="24"/>
          <w:szCs w:val="24"/>
        </w:rPr>
        <w:t>×</w:t>
      </w:r>
      <w:r w:rsidRPr="00301629">
        <w:rPr>
          <w:rFonts w:ascii="Times New Roman" w:hAnsi="Times New Roman"/>
          <w:sz w:val="24"/>
          <w:szCs w:val="24"/>
        </w:rPr>
        <w:t>10</w:t>
      </w:r>
      <w:r w:rsidRPr="00301629">
        <w:rPr>
          <w:rFonts w:ascii="Times New Roman" w:hAnsi="Times New Roman"/>
          <w:sz w:val="24"/>
          <w:szCs w:val="24"/>
          <w:vertAlign w:val="superscript"/>
        </w:rPr>
        <w:t>-4</w:t>
      </w:r>
      <w:r w:rsidRPr="00301629">
        <w:rPr>
          <w:rFonts w:ascii="Times New Roman" w:hAnsi="Times New Roman"/>
          <w:sz w:val="24"/>
          <w:szCs w:val="24"/>
        </w:rPr>
        <w:t xml:space="preserve"> DALY/m</w:t>
      </w:r>
      <w:r w:rsidRPr="00301629">
        <w:rPr>
          <w:rFonts w:ascii="Times New Roman" w:hAnsi="Times New Roman"/>
          <w:sz w:val="24"/>
          <w:szCs w:val="24"/>
          <w:vertAlign w:val="superscript"/>
        </w:rPr>
        <w:t>3</w:t>
      </w:r>
      <w:r w:rsidRPr="00301629">
        <w:rPr>
          <w:rFonts w:ascii="Times New Roman" w:hAnsi="Times New Roman"/>
          <w:sz w:val="24"/>
          <w:szCs w:val="24"/>
        </w:rPr>
        <w:t>, potentially doubling the human health impacts of bottled water supply.</w:t>
      </w:r>
    </w:p>
    <w:p w14:paraId="202963B2" w14:textId="3AC0B64B" w:rsidR="00063A07" w:rsidRPr="00301629" w:rsidRDefault="006A417F" w:rsidP="00DA4DE3">
      <w:pPr>
        <w:spacing w:after="0" w:line="480" w:lineRule="auto"/>
        <w:ind w:firstLine="720"/>
        <w:rPr>
          <w:rFonts w:ascii="Times New Roman" w:hAnsi="Times New Roman"/>
          <w:sz w:val="24"/>
          <w:szCs w:val="24"/>
        </w:rPr>
      </w:pPr>
      <w:r>
        <w:rPr>
          <w:rFonts w:ascii="Times New Roman" w:hAnsi="Times New Roman"/>
          <w:sz w:val="24"/>
          <w:szCs w:val="24"/>
        </w:rPr>
        <w:t>PFAS</w:t>
      </w:r>
      <w:r w:rsidR="00063A07" w:rsidRPr="00301629">
        <w:rPr>
          <w:rFonts w:ascii="Times New Roman" w:hAnsi="Times New Roman"/>
          <w:sz w:val="24"/>
          <w:szCs w:val="24"/>
        </w:rPr>
        <w:t xml:space="preserve"> have been identified as potent greenhouse gases with substantial contributions to life cycle climate change impacts semiconductor manufacturing and aluminum production </w:t>
      </w:r>
      <w:bookmarkStart w:id="27" w:name="Mendeley_Bookmark_3GXREJxpSj"/>
      <w:r w:rsidR="00063A07" w:rsidRPr="00301629">
        <w:rPr>
          <w:rFonts w:ascii="Times New Roman" w:hAnsi="Times New Roman"/>
          <w:sz w:val="24"/>
          <w:szCs w:val="24"/>
        </w:rPr>
        <w:t>(Krishnan et al. 2008</w:t>
      </w:r>
      <w:r w:rsidR="008241C5">
        <w:rPr>
          <w:rFonts w:ascii="Times New Roman" w:hAnsi="Times New Roman"/>
          <w:sz w:val="24"/>
          <w:szCs w:val="24"/>
        </w:rPr>
        <w:t>,</w:t>
      </w:r>
      <w:r w:rsidR="00063A07" w:rsidRPr="00301629">
        <w:rPr>
          <w:rFonts w:ascii="Times New Roman" w:hAnsi="Times New Roman"/>
          <w:sz w:val="24"/>
          <w:szCs w:val="24"/>
        </w:rPr>
        <w:t xml:space="preserve"> USEPA 2017)</w:t>
      </w:r>
      <w:bookmarkEnd w:id="27"/>
      <w:r w:rsidR="00063A07" w:rsidRPr="00301629">
        <w:rPr>
          <w:rFonts w:ascii="Times New Roman" w:hAnsi="Times New Roman"/>
          <w:sz w:val="24"/>
          <w:szCs w:val="24"/>
        </w:rPr>
        <w:t xml:space="preserve">. However, we expect volatilization rates of PFOA and PFOS to be very low during </w:t>
      </w:r>
      <w:r w:rsidR="002D549E" w:rsidRPr="00301629">
        <w:rPr>
          <w:rFonts w:ascii="Times New Roman" w:hAnsi="Times New Roman"/>
          <w:sz w:val="24"/>
          <w:szCs w:val="24"/>
        </w:rPr>
        <w:t>treatment</w:t>
      </w:r>
      <w:r w:rsidR="00063A07" w:rsidRPr="00301629">
        <w:rPr>
          <w:rFonts w:ascii="Times New Roman" w:hAnsi="Times New Roman"/>
          <w:sz w:val="24"/>
          <w:szCs w:val="24"/>
        </w:rPr>
        <w:t xml:space="preserve"> of contaminated groundwater. Even if 1% of total combined PFOA and PFOS were volatized during </w:t>
      </w:r>
      <w:r w:rsidR="002D549E" w:rsidRPr="00301629">
        <w:rPr>
          <w:rFonts w:ascii="Times New Roman" w:hAnsi="Times New Roman"/>
          <w:sz w:val="24"/>
          <w:szCs w:val="24"/>
        </w:rPr>
        <w:t>treatment</w:t>
      </w:r>
      <w:r w:rsidR="00063A07" w:rsidRPr="00301629">
        <w:rPr>
          <w:rFonts w:ascii="Times New Roman" w:hAnsi="Times New Roman"/>
          <w:sz w:val="24"/>
          <w:szCs w:val="24"/>
        </w:rPr>
        <w:t xml:space="preserve">, this would contribute only 0.3% – 1.4% of total climate change impacts of GAC-based or IEX-based </w:t>
      </w:r>
      <w:r w:rsidR="002D549E" w:rsidRPr="00301629">
        <w:rPr>
          <w:rFonts w:ascii="Times New Roman" w:hAnsi="Times New Roman"/>
          <w:sz w:val="24"/>
          <w:szCs w:val="24"/>
        </w:rPr>
        <w:t>treatment</w:t>
      </w:r>
      <w:r w:rsidR="00063A07" w:rsidRPr="00301629">
        <w:rPr>
          <w:rFonts w:ascii="Times New Roman" w:hAnsi="Times New Roman"/>
          <w:sz w:val="24"/>
          <w:szCs w:val="24"/>
        </w:rPr>
        <w:t>, respectively.</w:t>
      </w:r>
    </w:p>
    <w:p w14:paraId="6EE264B3" w14:textId="77777777" w:rsidR="00063A07" w:rsidRPr="00301629" w:rsidRDefault="00063A07" w:rsidP="00301629">
      <w:pPr>
        <w:spacing w:after="0" w:line="480" w:lineRule="auto"/>
        <w:rPr>
          <w:rFonts w:ascii="Times New Roman" w:hAnsi="Times New Roman"/>
          <w:sz w:val="24"/>
          <w:szCs w:val="24"/>
        </w:rPr>
      </w:pPr>
    </w:p>
    <w:p w14:paraId="7E3E1A57" w14:textId="343276C5" w:rsidR="00063A07" w:rsidRPr="006B1CD1" w:rsidRDefault="006B1CD1" w:rsidP="007E4BED">
      <w:pPr>
        <w:pStyle w:val="Heading3"/>
        <w:numPr>
          <w:ilvl w:val="1"/>
          <w:numId w:val="5"/>
        </w:numPr>
        <w:spacing w:before="0" w:line="480" w:lineRule="auto"/>
        <w:rPr>
          <w:rFonts w:ascii="Times New Roman" w:hAnsi="Times New Roman"/>
          <w:b/>
          <w:bCs/>
          <w:color w:val="auto"/>
        </w:rPr>
      </w:pPr>
      <w:r>
        <w:rPr>
          <w:rFonts w:ascii="Times New Roman" w:hAnsi="Times New Roman"/>
          <w:b/>
          <w:bCs/>
          <w:color w:val="auto"/>
        </w:rPr>
        <w:t xml:space="preserve"> </w:t>
      </w:r>
      <w:r w:rsidR="00063A07" w:rsidRPr="006B1CD1">
        <w:rPr>
          <w:rFonts w:ascii="Times New Roman" w:hAnsi="Times New Roman"/>
          <w:b/>
          <w:bCs/>
          <w:color w:val="auto"/>
        </w:rPr>
        <w:t>Economic Valuation</w:t>
      </w:r>
    </w:p>
    <w:p w14:paraId="2F856A6D" w14:textId="26499924" w:rsidR="00063A07" w:rsidRDefault="00063A07" w:rsidP="006B1CD1">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The economic burden of health-related externalities </w:t>
      </w:r>
      <w:proofErr w:type="gramStart"/>
      <w:r w:rsidR="00256013">
        <w:rPr>
          <w:rFonts w:ascii="Times New Roman" w:hAnsi="Times New Roman"/>
          <w:sz w:val="24"/>
          <w:szCs w:val="24"/>
        </w:rPr>
        <w:t>we</w:t>
      </w:r>
      <w:r w:rsidRPr="00301629">
        <w:rPr>
          <w:rFonts w:ascii="Times New Roman" w:hAnsi="Times New Roman"/>
          <w:sz w:val="24"/>
          <w:szCs w:val="24"/>
        </w:rPr>
        <w:t>re</w:t>
      </w:r>
      <w:proofErr w:type="gramEnd"/>
      <w:r w:rsidRPr="00301629">
        <w:rPr>
          <w:rFonts w:ascii="Times New Roman" w:hAnsi="Times New Roman"/>
          <w:sz w:val="24"/>
          <w:szCs w:val="24"/>
        </w:rPr>
        <w:t xml:space="preserve"> similar to, or exceed</w:t>
      </w:r>
      <w:r w:rsidR="00256013">
        <w:rPr>
          <w:rFonts w:ascii="Times New Roman" w:hAnsi="Times New Roman"/>
          <w:sz w:val="24"/>
          <w:szCs w:val="24"/>
        </w:rPr>
        <w:t>ed</w:t>
      </w:r>
      <w:r w:rsidRPr="00301629">
        <w:rPr>
          <w:rFonts w:ascii="Times New Roman" w:hAnsi="Times New Roman"/>
          <w:sz w:val="24"/>
          <w:szCs w:val="24"/>
        </w:rPr>
        <w:t xml:space="preserve">, the costs associated with provision of potable water. Based on the actual costs of supplying bottled drinking water on an on-demand basis at WPAFB during the six months following the announcement of the EPA health advisory for PFOA and PFOS, the purchase cost of bottled water may total $140,000 over 20 years. Costs associated with </w:t>
      </w:r>
      <w:r w:rsidR="002D549E" w:rsidRPr="00301629">
        <w:rPr>
          <w:rFonts w:ascii="Times New Roman" w:hAnsi="Times New Roman"/>
          <w:sz w:val="24"/>
          <w:szCs w:val="24"/>
        </w:rPr>
        <w:t>treatment</w:t>
      </w:r>
      <w:r w:rsidRPr="00301629">
        <w:rPr>
          <w:rFonts w:ascii="Times New Roman" w:hAnsi="Times New Roman"/>
          <w:sz w:val="24"/>
          <w:szCs w:val="24"/>
        </w:rPr>
        <w:t xml:space="preserve"> of PFAS-impacted water are higher; over a 20-year system lifetime, not considering infrastructure costs, a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facility may pay $0.35M for GAC (at 0.7 µg/L combined PFOA + PFOS) and $1.7M for electricity. These costs are comparable to the economic burden of health-related externalities from the various scenarios explored in this work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 xml:space="preserve">5). Over a 20-year system lifetime, externalized health costs range from a low of $42,000 to $59,000 (brand 1 and brand 2 bottled water, sensitive residents scenario) to a high of $3.7M to $4.2M (IEX and GAC treatment at 70 µg/L PFAS). The total cost of health externalities for other six scenarios in Figure </w:t>
      </w:r>
      <w:r w:rsidR="002D1E76">
        <w:rPr>
          <w:rFonts w:ascii="Times New Roman" w:hAnsi="Times New Roman"/>
          <w:sz w:val="24"/>
          <w:szCs w:val="24"/>
        </w:rPr>
        <w:t>E5</w:t>
      </w:r>
      <w:r w:rsidR="008E6EED">
        <w:rPr>
          <w:rFonts w:ascii="Times New Roman" w:hAnsi="Times New Roman"/>
          <w:sz w:val="24"/>
          <w:szCs w:val="24"/>
        </w:rPr>
        <w:t>.</w:t>
      </w:r>
      <w:r w:rsidRPr="00301629">
        <w:rPr>
          <w:rFonts w:ascii="Times New Roman" w:hAnsi="Times New Roman"/>
          <w:sz w:val="24"/>
          <w:szCs w:val="24"/>
        </w:rPr>
        <w:t xml:space="preserve">5 were between $1.2M and $1.7M. The life cycle analysis demonstrates the significant </w:t>
      </w:r>
      <w:r w:rsidRPr="00301629">
        <w:rPr>
          <w:rFonts w:ascii="Times New Roman" w:hAnsi="Times New Roman"/>
          <w:sz w:val="24"/>
          <w:szCs w:val="24"/>
        </w:rPr>
        <w:lastRenderedPageBreak/>
        <w:t>cost contribution from health-related externalities over the expected duration of the remedial decision.</w:t>
      </w:r>
    </w:p>
    <w:p w14:paraId="7084CA66" w14:textId="77777777" w:rsidR="00E30043" w:rsidRPr="00301629" w:rsidRDefault="00E30043" w:rsidP="006B1CD1">
      <w:pPr>
        <w:spacing w:after="0" w:line="480" w:lineRule="auto"/>
        <w:ind w:firstLine="720"/>
        <w:rPr>
          <w:rFonts w:ascii="Times New Roman" w:hAnsi="Times New Roman"/>
          <w:sz w:val="24"/>
          <w:szCs w:val="24"/>
        </w:rPr>
      </w:pPr>
    </w:p>
    <w:p w14:paraId="47F2B329" w14:textId="36B8836F" w:rsidR="00256013" w:rsidRDefault="00E30043" w:rsidP="00E30043">
      <w:pPr>
        <w:spacing w:after="0" w:line="480" w:lineRule="auto"/>
        <w:jc w:val="center"/>
        <w:rPr>
          <w:rFonts w:ascii="Times New Roman" w:hAnsi="Times New Roman"/>
          <w:sz w:val="20"/>
          <w:szCs w:val="20"/>
        </w:rPr>
      </w:pPr>
      <w:r>
        <w:rPr>
          <w:noProof/>
        </w:rPr>
        <w:drawing>
          <wp:inline distT="0" distB="0" distL="0" distR="0" wp14:anchorId="5F96FBEF" wp14:editId="3E4BEC05">
            <wp:extent cx="3343275" cy="3695700"/>
            <wp:effectExtent l="0" t="0" r="9525" b="0"/>
            <wp:docPr id="10" name="Chart 10">
              <a:extLst xmlns:a="http://schemas.openxmlformats.org/drawingml/2006/main">
                <a:ext uri="{FF2B5EF4-FFF2-40B4-BE49-F238E27FC236}">
                  <a16:creationId xmlns:a16="http://schemas.microsoft.com/office/drawing/2014/main" id="{A840286D-C506-4337-9735-CCF5F1BF84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F9E759" w14:textId="77777777" w:rsidR="00E30043" w:rsidRDefault="00E30043" w:rsidP="00256013">
      <w:pPr>
        <w:spacing w:after="0" w:line="480" w:lineRule="auto"/>
        <w:jc w:val="center"/>
        <w:rPr>
          <w:rFonts w:ascii="Times New Roman" w:hAnsi="Times New Roman"/>
          <w:sz w:val="24"/>
          <w:szCs w:val="24"/>
        </w:rPr>
      </w:pPr>
    </w:p>
    <w:p w14:paraId="140349C5" w14:textId="3155A078" w:rsidR="00256013" w:rsidRPr="00256013" w:rsidRDefault="00256013" w:rsidP="00256013">
      <w:pPr>
        <w:spacing w:after="0" w:line="480" w:lineRule="auto"/>
        <w:jc w:val="center"/>
        <w:rPr>
          <w:rFonts w:ascii="Times New Roman" w:hAnsi="Times New Roman"/>
          <w:sz w:val="24"/>
          <w:szCs w:val="24"/>
        </w:rPr>
      </w:pPr>
      <w:r w:rsidRPr="00E30043">
        <w:rPr>
          <w:rFonts w:ascii="Times New Roman" w:hAnsi="Times New Roman"/>
          <w:sz w:val="24"/>
          <w:szCs w:val="24"/>
        </w:rPr>
        <w:t xml:space="preserve">Figure </w:t>
      </w:r>
      <w:r w:rsidR="002D1E76" w:rsidRPr="00E30043">
        <w:rPr>
          <w:rFonts w:ascii="Times New Roman" w:hAnsi="Times New Roman"/>
          <w:sz w:val="24"/>
          <w:szCs w:val="24"/>
        </w:rPr>
        <w:t>E5</w:t>
      </w:r>
      <w:r w:rsidR="008E6EED" w:rsidRPr="00E30043">
        <w:rPr>
          <w:rFonts w:ascii="Times New Roman" w:hAnsi="Times New Roman"/>
          <w:sz w:val="24"/>
          <w:szCs w:val="24"/>
        </w:rPr>
        <w:t>.</w:t>
      </w:r>
      <w:r w:rsidRPr="00E30043">
        <w:rPr>
          <w:rFonts w:ascii="Times New Roman" w:hAnsi="Times New Roman"/>
          <w:sz w:val="24"/>
          <w:szCs w:val="24"/>
        </w:rPr>
        <w:t>5. Economic costs from life-cycle human health impacts of clean water supply by groundwater remediation (GAC, IEX) and bottled water (</w:t>
      </w:r>
      <w:r w:rsidR="003865C1" w:rsidRPr="00E30043">
        <w:rPr>
          <w:rFonts w:ascii="Times New Roman" w:hAnsi="Times New Roman"/>
          <w:sz w:val="24"/>
          <w:szCs w:val="24"/>
        </w:rPr>
        <w:t>b</w:t>
      </w:r>
      <w:r w:rsidRPr="00E30043">
        <w:rPr>
          <w:rFonts w:ascii="Times New Roman" w:hAnsi="Times New Roman"/>
          <w:sz w:val="24"/>
          <w:szCs w:val="24"/>
        </w:rPr>
        <w:t xml:space="preserve">rand 1, </w:t>
      </w:r>
      <w:r w:rsidR="003865C1" w:rsidRPr="00E30043">
        <w:rPr>
          <w:rFonts w:ascii="Times New Roman" w:hAnsi="Times New Roman"/>
          <w:sz w:val="24"/>
          <w:szCs w:val="24"/>
        </w:rPr>
        <w:t>b</w:t>
      </w:r>
      <w:r w:rsidRPr="00E30043">
        <w:rPr>
          <w:rFonts w:ascii="Times New Roman" w:hAnsi="Times New Roman"/>
          <w:sz w:val="24"/>
          <w:szCs w:val="24"/>
        </w:rPr>
        <w:t>rand 2) over 20 years. Bottled water scenarios include supply only to sensitive resident populations (SR) or to all residents and sensitive non-residents (RSN). Bars indicate 95% confidence intervals (2.5 to 97.5 percentiles). Lines and circles indicate median and mean values, respectively.</w:t>
      </w:r>
    </w:p>
    <w:p w14:paraId="2C50A3F3" w14:textId="5A2D0D4F" w:rsidR="00063A07" w:rsidRDefault="00063A07" w:rsidP="00301629">
      <w:pPr>
        <w:spacing w:after="0" w:line="480" w:lineRule="auto"/>
        <w:rPr>
          <w:rFonts w:ascii="Times New Roman" w:hAnsi="Times New Roman"/>
          <w:sz w:val="24"/>
          <w:szCs w:val="24"/>
        </w:rPr>
      </w:pPr>
    </w:p>
    <w:p w14:paraId="0D647096" w14:textId="613FD8A5" w:rsidR="00E30043" w:rsidRDefault="00E30043" w:rsidP="00301629">
      <w:pPr>
        <w:spacing w:after="0" w:line="480" w:lineRule="auto"/>
        <w:rPr>
          <w:rFonts w:ascii="Times New Roman" w:hAnsi="Times New Roman"/>
          <w:sz w:val="24"/>
          <w:szCs w:val="24"/>
        </w:rPr>
      </w:pPr>
    </w:p>
    <w:p w14:paraId="69672DF2" w14:textId="77777777" w:rsidR="00E30043" w:rsidRPr="00301629" w:rsidRDefault="00E30043" w:rsidP="00301629">
      <w:pPr>
        <w:spacing w:after="0" w:line="480" w:lineRule="auto"/>
        <w:rPr>
          <w:rFonts w:ascii="Times New Roman" w:hAnsi="Times New Roman"/>
          <w:sz w:val="24"/>
          <w:szCs w:val="24"/>
        </w:rPr>
      </w:pPr>
    </w:p>
    <w:p w14:paraId="2CAE7EA4" w14:textId="26FD823F" w:rsidR="00063A07" w:rsidRPr="00256013" w:rsidRDefault="00256013" w:rsidP="00256013">
      <w:pPr>
        <w:pStyle w:val="Heading2"/>
        <w:numPr>
          <w:ilvl w:val="0"/>
          <w:numId w:val="3"/>
        </w:numPr>
        <w:spacing w:before="0" w:line="480" w:lineRule="auto"/>
        <w:rPr>
          <w:rFonts w:ascii="Times New Roman" w:hAnsi="Times New Roman"/>
          <w:b/>
          <w:bCs/>
          <w:color w:val="auto"/>
          <w:sz w:val="24"/>
          <w:szCs w:val="24"/>
        </w:rPr>
      </w:pPr>
      <w:r>
        <w:rPr>
          <w:rFonts w:ascii="Times New Roman" w:hAnsi="Times New Roman"/>
          <w:b/>
          <w:bCs/>
          <w:color w:val="auto"/>
          <w:sz w:val="24"/>
          <w:szCs w:val="24"/>
        </w:rPr>
        <w:lastRenderedPageBreak/>
        <w:t xml:space="preserve"> </w:t>
      </w:r>
      <w:r w:rsidR="00063A07" w:rsidRPr="00256013">
        <w:rPr>
          <w:rFonts w:ascii="Times New Roman" w:hAnsi="Times New Roman"/>
          <w:b/>
          <w:bCs/>
          <w:color w:val="auto"/>
          <w:sz w:val="24"/>
          <w:szCs w:val="24"/>
        </w:rPr>
        <w:t>Conclusions</w:t>
      </w:r>
    </w:p>
    <w:p w14:paraId="0096DB0C" w14:textId="77777777" w:rsidR="00256013" w:rsidRDefault="00256013" w:rsidP="00301629">
      <w:pPr>
        <w:spacing w:after="0" w:line="480" w:lineRule="auto"/>
        <w:rPr>
          <w:rFonts w:ascii="Times New Roman" w:hAnsi="Times New Roman"/>
          <w:sz w:val="24"/>
          <w:szCs w:val="24"/>
        </w:rPr>
      </w:pPr>
    </w:p>
    <w:p w14:paraId="3D3D197E" w14:textId="73911AA8" w:rsidR="00063A07" w:rsidRPr="00301629" w:rsidRDefault="00063A07" w:rsidP="00301629">
      <w:pPr>
        <w:spacing w:after="0" w:line="480" w:lineRule="auto"/>
        <w:rPr>
          <w:rFonts w:ascii="Times New Roman" w:hAnsi="Times New Roman"/>
          <w:sz w:val="24"/>
          <w:szCs w:val="24"/>
        </w:rPr>
      </w:pPr>
      <w:r w:rsidRPr="00301629">
        <w:rPr>
          <w:rFonts w:ascii="Times New Roman" w:hAnsi="Times New Roman"/>
          <w:sz w:val="24"/>
          <w:szCs w:val="24"/>
        </w:rPr>
        <w:t xml:space="preserve">This study examined the </w:t>
      </w:r>
      <w:proofErr w:type="gramStart"/>
      <w:r w:rsidRPr="00301629">
        <w:rPr>
          <w:rFonts w:ascii="Times New Roman" w:hAnsi="Times New Roman"/>
          <w:sz w:val="24"/>
          <w:szCs w:val="24"/>
        </w:rPr>
        <w:t>life-cycle</w:t>
      </w:r>
      <w:proofErr w:type="gramEnd"/>
      <w:r w:rsidRPr="00301629">
        <w:rPr>
          <w:rFonts w:ascii="Times New Roman" w:hAnsi="Times New Roman"/>
          <w:sz w:val="24"/>
          <w:szCs w:val="24"/>
        </w:rPr>
        <w:t xml:space="preserve"> impacts to climate and human health from </w:t>
      </w:r>
      <w:r w:rsidR="002D549E" w:rsidRPr="00301629">
        <w:rPr>
          <w:rFonts w:ascii="Times New Roman" w:hAnsi="Times New Roman"/>
          <w:sz w:val="24"/>
          <w:szCs w:val="24"/>
        </w:rPr>
        <w:t>treatment</w:t>
      </w:r>
      <w:r w:rsidRPr="00301629">
        <w:rPr>
          <w:rFonts w:ascii="Times New Roman" w:hAnsi="Times New Roman"/>
          <w:sz w:val="24"/>
          <w:szCs w:val="24"/>
        </w:rPr>
        <w:t xml:space="preserve"> of </w:t>
      </w:r>
      <w:proofErr w:type="spellStart"/>
      <w:r w:rsidRPr="00301629">
        <w:rPr>
          <w:rFonts w:ascii="Times New Roman" w:hAnsi="Times New Roman"/>
          <w:sz w:val="24"/>
          <w:szCs w:val="24"/>
        </w:rPr>
        <w:t>perfluorinated</w:t>
      </w:r>
      <w:proofErr w:type="spellEnd"/>
      <w:r w:rsidRPr="00301629">
        <w:rPr>
          <w:rFonts w:ascii="Times New Roman" w:hAnsi="Times New Roman"/>
          <w:sz w:val="24"/>
          <w:szCs w:val="24"/>
        </w:rPr>
        <w:t xml:space="preserve"> alkyl substances using case studies based on approaches developed for the United States Air Force. We find that at concentrations ten times higher than the EPA health advisory for PFOA and PFOS, the climate impacts of </w:t>
      </w:r>
      <w:r w:rsidR="002D549E" w:rsidRPr="00301629">
        <w:rPr>
          <w:rFonts w:ascii="Times New Roman" w:hAnsi="Times New Roman"/>
          <w:sz w:val="24"/>
          <w:szCs w:val="24"/>
        </w:rPr>
        <w:t>treatment</w:t>
      </w:r>
      <w:r w:rsidRPr="00301629">
        <w:rPr>
          <w:rFonts w:ascii="Times New Roman" w:hAnsi="Times New Roman"/>
          <w:sz w:val="24"/>
          <w:szCs w:val="24"/>
        </w:rPr>
        <w:t xml:space="preserve"> using GAC and IEX are </w:t>
      </w:r>
      <w:proofErr w:type="gramStart"/>
      <w:r w:rsidRPr="00301629">
        <w:rPr>
          <w:rFonts w:ascii="Times New Roman" w:hAnsi="Times New Roman"/>
          <w:sz w:val="24"/>
          <w:szCs w:val="24"/>
        </w:rPr>
        <w:t>similar to</w:t>
      </w:r>
      <w:proofErr w:type="gramEnd"/>
      <w:r w:rsidRPr="00301629">
        <w:rPr>
          <w:rFonts w:ascii="Times New Roman" w:hAnsi="Times New Roman"/>
          <w:sz w:val="24"/>
          <w:szCs w:val="24"/>
        </w:rPr>
        <w:t xml:space="preserve"> those for conventional tap water supply and human health impacts are negligible. Impacts of both </w:t>
      </w:r>
      <w:r w:rsidR="002D549E" w:rsidRPr="00301629">
        <w:rPr>
          <w:rFonts w:ascii="Times New Roman" w:hAnsi="Times New Roman"/>
          <w:sz w:val="24"/>
          <w:szCs w:val="24"/>
        </w:rPr>
        <w:t>treatment</w:t>
      </w:r>
      <w:r w:rsidRPr="00301629">
        <w:rPr>
          <w:rFonts w:ascii="Times New Roman" w:hAnsi="Times New Roman"/>
          <w:sz w:val="24"/>
          <w:szCs w:val="24"/>
        </w:rPr>
        <w:t xml:space="preserve"> technologies </w:t>
      </w:r>
      <w:r w:rsidR="00F1223F">
        <w:rPr>
          <w:rFonts w:ascii="Times New Roman" w:hAnsi="Times New Roman"/>
          <w:sz w:val="24"/>
          <w:szCs w:val="24"/>
        </w:rPr>
        <w:t>a</w:t>
      </w:r>
      <w:r w:rsidRPr="00301629">
        <w:rPr>
          <w:rFonts w:ascii="Times New Roman" w:hAnsi="Times New Roman"/>
          <w:sz w:val="24"/>
          <w:szCs w:val="24"/>
        </w:rPr>
        <w:t xml:space="preserve">re highly dependent on energy use at the treatment site, making renewable energy sources a key target for reducing climate, human health, and ecotoxicity impacts. </w:t>
      </w:r>
    </w:p>
    <w:p w14:paraId="6C07CE4A" w14:textId="3F5589C1" w:rsidR="00063A07" w:rsidRPr="00301629" w:rsidRDefault="00063A07" w:rsidP="00F1223F">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The range of likely impacts from GAC and IEX based </w:t>
      </w:r>
      <w:r w:rsidR="002D549E" w:rsidRPr="00301629">
        <w:rPr>
          <w:rFonts w:ascii="Times New Roman" w:hAnsi="Times New Roman"/>
          <w:sz w:val="24"/>
          <w:szCs w:val="24"/>
        </w:rPr>
        <w:t>treatment</w:t>
      </w:r>
      <w:r w:rsidRPr="00301629">
        <w:rPr>
          <w:rFonts w:ascii="Times New Roman" w:hAnsi="Times New Roman"/>
          <w:sz w:val="24"/>
          <w:szCs w:val="24"/>
        </w:rPr>
        <w:t xml:space="preserve"> are similar across most scenarios. At PFOA and PFOS concentrations above 70 µg/L, 1000 times the US EPA health advisory, reactivation of carbon and recycling of ion-exchange regenerant become primary impacts, resulting in higher climate and human health damages.</w:t>
      </w:r>
    </w:p>
    <w:p w14:paraId="0281CCB8" w14:textId="62D836AF" w:rsidR="00063A07" w:rsidRPr="00301629" w:rsidRDefault="00063A07" w:rsidP="00F1223F">
      <w:pPr>
        <w:spacing w:after="0" w:line="480" w:lineRule="auto"/>
        <w:ind w:firstLine="720"/>
        <w:rPr>
          <w:rFonts w:ascii="Times New Roman" w:hAnsi="Times New Roman"/>
          <w:sz w:val="24"/>
          <w:szCs w:val="24"/>
        </w:rPr>
      </w:pPr>
      <w:r w:rsidRPr="00301629">
        <w:rPr>
          <w:rFonts w:ascii="Times New Roman" w:hAnsi="Times New Roman"/>
          <w:sz w:val="24"/>
          <w:szCs w:val="24"/>
        </w:rPr>
        <w:t xml:space="preserve">Supplying bottled drinking water to sensitive populations could have lower </w:t>
      </w:r>
      <w:proofErr w:type="gramStart"/>
      <w:r w:rsidRPr="00301629">
        <w:rPr>
          <w:rFonts w:ascii="Times New Roman" w:hAnsi="Times New Roman"/>
          <w:sz w:val="24"/>
          <w:szCs w:val="24"/>
        </w:rPr>
        <w:t>life-cycle</w:t>
      </w:r>
      <w:proofErr w:type="gramEnd"/>
      <w:r w:rsidRPr="00301629">
        <w:rPr>
          <w:rFonts w:ascii="Times New Roman" w:hAnsi="Times New Roman"/>
          <w:sz w:val="24"/>
          <w:szCs w:val="24"/>
        </w:rPr>
        <w:t xml:space="preserve"> impacts than full-scale groundwater </w:t>
      </w:r>
      <w:r w:rsidR="002D549E" w:rsidRPr="00301629">
        <w:rPr>
          <w:rFonts w:ascii="Times New Roman" w:hAnsi="Times New Roman"/>
          <w:sz w:val="24"/>
          <w:szCs w:val="24"/>
        </w:rPr>
        <w:t>treatment</w:t>
      </w:r>
      <w:r w:rsidRPr="00301629">
        <w:rPr>
          <w:rFonts w:ascii="Times New Roman" w:hAnsi="Times New Roman"/>
          <w:sz w:val="24"/>
          <w:szCs w:val="24"/>
        </w:rPr>
        <w:t xml:space="preserve">. When contaminant concentrations are low enough to pose a negligible risk to the general population, supplementing tap water with bottled drinking water for up to 5% of the most sensitive individuals within a population could be a low-impact alternative both environmentally and economically. Better understanding of the health impacts of PFAS-contaminated groundwater is necessary to make informed decisions on the risk management of water contamination and </w:t>
      </w:r>
      <w:r w:rsidR="002D549E" w:rsidRPr="00301629">
        <w:rPr>
          <w:rFonts w:ascii="Times New Roman" w:hAnsi="Times New Roman"/>
          <w:sz w:val="24"/>
          <w:szCs w:val="24"/>
        </w:rPr>
        <w:t>treatment</w:t>
      </w:r>
      <w:r w:rsidRPr="00301629">
        <w:rPr>
          <w:rFonts w:ascii="Times New Roman" w:hAnsi="Times New Roman"/>
          <w:sz w:val="24"/>
          <w:szCs w:val="24"/>
        </w:rPr>
        <w:t>.</w:t>
      </w:r>
      <w:r w:rsidR="003869AB" w:rsidRPr="00301629">
        <w:rPr>
          <w:rFonts w:ascii="Times New Roman" w:hAnsi="Times New Roman"/>
          <w:sz w:val="24"/>
          <w:szCs w:val="24"/>
        </w:rPr>
        <w:t xml:space="preserve"> Although this study used WPAFB contaminated site as a case study, the LCA presented here can apply to any study comparing treatment options for water </w:t>
      </w:r>
      <w:r w:rsidR="00A40956" w:rsidRPr="00301629">
        <w:rPr>
          <w:rFonts w:ascii="Times New Roman" w:hAnsi="Times New Roman"/>
          <w:sz w:val="24"/>
          <w:szCs w:val="24"/>
        </w:rPr>
        <w:t>impacted</w:t>
      </w:r>
      <w:r w:rsidR="003869AB" w:rsidRPr="00301629">
        <w:rPr>
          <w:rFonts w:ascii="Times New Roman" w:hAnsi="Times New Roman"/>
          <w:sz w:val="24"/>
          <w:szCs w:val="24"/>
        </w:rPr>
        <w:t xml:space="preserve"> </w:t>
      </w:r>
      <w:r w:rsidR="00A40956" w:rsidRPr="00301629">
        <w:rPr>
          <w:rFonts w:ascii="Times New Roman" w:hAnsi="Times New Roman"/>
          <w:sz w:val="24"/>
          <w:szCs w:val="24"/>
        </w:rPr>
        <w:t>by</w:t>
      </w:r>
      <w:r w:rsidR="003869AB" w:rsidRPr="00301629">
        <w:rPr>
          <w:rFonts w:ascii="Times New Roman" w:hAnsi="Times New Roman"/>
          <w:sz w:val="24"/>
          <w:szCs w:val="24"/>
        </w:rPr>
        <w:t xml:space="preserve"> emerging contaminants.</w:t>
      </w:r>
    </w:p>
    <w:p w14:paraId="1062DA27" w14:textId="41C203BF" w:rsidR="00063A07" w:rsidRPr="00B23ABA" w:rsidRDefault="00B23ABA" w:rsidP="00301629">
      <w:pPr>
        <w:pStyle w:val="Heading2"/>
        <w:spacing w:before="0" w:line="480" w:lineRule="auto"/>
        <w:rPr>
          <w:rFonts w:ascii="Times New Roman" w:hAnsi="Times New Roman"/>
          <w:b/>
          <w:bCs/>
          <w:color w:val="auto"/>
          <w:sz w:val="24"/>
          <w:szCs w:val="24"/>
        </w:rPr>
      </w:pPr>
      <w:proofErr w:type="gramStart"/>
      <w:r w:rsidRPr="00B23ABA">
        <w:rPr>
          <w:rFonts w:ascii="Times New Roman" w:hAnsi="Times New Roman"/>
          <w:b/>
          <w:bCs/>
          <w:color w:val="auto"/>
          <w:sz w:val="24"/>
          <w:szCs w:val="24"/>
        </w:rPr>
        <w:lastRenderedPageBreak/>
        <w:t xml:space="preserve">6.0  </w:t>
      </w:r>
      <w:r w:rsidR="00063A07" w:rsidRPr="00B23ABA">
        <w:rPr>
          <w:rFonts w:ascii="Times New Roman" w:hAnsi="Times New Roman"/>
          <w:b/>
          <w:bCs/>
          <w:color w:val="auto"/>
          <w:sz w:val="24"/>
          <w:szCs w:val="24"/>
        </w:rPr>
        <w:t>Acknowledgements</w:t>
      </w:r>
      <w:proofErr w:type="gramEnd"/>
    </w:p>
    <w:p w14:paraId="3E1EC665" w14:textId="77777777" w:rsidR="00B23ABA" w:rsidRDefault="00B23ABA" w:rsidP="00301629">
      <w:pPr>
        <w:spacing w:after="0" w:line="480" w:lineRule="auto"/>
        <w:rPr>
          <w:rFonts w:ascii="Times New Roman" w:hAnsi="Times New Roman"/>
          <w:sz w:val="24"/>
          <w:szCs w:val="24"/>
        </w:rPr>
      </w:pPr>
    </w:p>
    <w:p w14:paraId="3B57B447" w14:textId="3DADD759" w:rsidR="00063A07" w:rsidRDefault="00063A07" w:rsidP="00301629">
      <w:pPr>
        <w:spacing w:after="0" w:line="480" w:lineRule="auto"/>
        <w:rPr>
          <w:rFonts w:ascii="Times New Roman" w:hAnsi="Times New Roman"/>
          <w:sz w:val="24"/>
          <w:szCs w:val="24"/>
        </w:rPr>
      </w:pPr>
      <w:r w:rsidRPr="00301629">
        <w:rPr>
          <w:rFonts w:ascii="Times New Roman" w:hAnsi="Times New Roman"/>
          <w:sz w:val="24"/>
          <w:szCs w:val="24"/>
        </w:rPr>
        <w:t xml:space="preserve">The authors thank Treva </w:t>
      </w:r>
      <w:proofErr w:type="spellStart"/>
      <w:r w:rsidRPr="00301629">
        <w:rPr>
          <w:rFonts w:ascii="Times New Roman" w:hAnsi="Times New Roman"/>
          <w:sz w:val="24"/>
          <w:szCs w:val="24"/>
        </w:rPr>
        <w:t>Bashore</w:t>
      </w:r>
      <w:proofErr w:type="spellEnd"/>
      <w:r w:rsidRPr="00301629">
        <w:rPr>
          <w:rFonts w:ascii="Times New Roman" w:hAnsi="Times New Roman"/>
          <w:sz w:val="24"/>
          <w:szCs w:val="24"/>
        </w:rPr>
        <w:t xml:space="preserve"> and Michael Brady with the Air Force Civil Engineering Center for their helpful conversations in identifying case studies for this project. We are also grateful to Ryan </w:t>
      </w:r>
      <w:proofErr w:type="spellStart"/>
      <w:r w:rsidRPr="00301629">
        <w:rPr>
          <w:rFonts w:ascii="Times New Roman" w:hAnsi="Times New Roman"/>
          <w:sz w:val="24"/>
          <w:szCs w:val="24"/>
        </w:rPr>
        <w:t>Morrish</w:t>
      </w:r>
      <w:proofErr w:type="spellEnd"/>
      <w:r w:rsidRPr="00301629">
        <w:rPr>
          <w:rFonts w:ascii="Times New Roman" w:hAnsi="Times New Roman"/>
          <w:sz w:val="24"/>
          <w:szCs w:val="24"/>
        </w:rPr>
        <w:t xml:space="preserve"> with Bay West, LLC., Kendra Ryan with Calgon Carbon, Inc., William Scoville from CBI Federal Services, Inc., Steve Woodard with Emerging Contaminant Treatment Technologies, and Brandon Newman with </w:t>
      </w:r>
      <w:proofErr w:type="spellStart"/>
      <w:r w:rsidRPr="00301629">
        <w:rPr>
          <w:rFonts w:ascii="Times New Roman" w:hAnsi="Times New Roman"/>
          <w:sz w:val="24"/>
          <w:szCs w:val="24"/>
        </w:rPr>
        <w:t>Amec</w:t>
      </w:r>
      <w:proofErr w:type="spellEnd"/>
      <w:r w:rsidRPr="00301629">
        <w:rPr>
          <w:rFonts w:ascii="Times New Roman" w:hAnsi="Times New Roman"/>
          <w:sz w:val="24"/>
          <w:szCs w:val="24"/>
        </w:rPr>
        <w:t xml:space="preserve"> Foster Wheeler, Inc. for supplying data. This research was supported by Defense Environmental Restoration Account (DERA) funds, and by an appointment to the Postgraduate Research Participation Program at the U.S. Air Force Institute of Technology (AFIT) administered by the Oak Ridge Institute for Science and Education through an interagency agreement between the U.S. Department of Energy and AFIT. The views expressed in this paper are those of the authors and do not reflect the official policy or position of the U.S. Air Force, the U.S. Department of Defense, or the U.S. government.</w:t>
      </w:r>
    </w:p>
    <w:p w14:paraId="512B562F" w14:textId="069635A6" w:rsidR="00B23ABA" w:rsidRDefault="00B23ABA" w:rsidP="00301629">
      <w:pPr>
        <w:spacing w:after="0" w:line="480" w:lineRule="auto"/>
        <w:rPr>
          <w:rFonts w:ascii="Times New Roman" w:hAnsi="Times New Roman"/>
          <w:sz w:val="24"/>
          <w:szCs w:val="24"/>
        </w:rPr>
      </w:pPr>
    </w:p>
    <w:p w14:paraId="2EABE4C8" w14:textId="03FE930D" w:rsidR="00063A07" w:rsidRPr="00B23ABA" w:rsidRDefault="00B23ABA" w:rsidP="00301629">
      <w:pPr>
        <w:spacing w:after="0" w:line="480" w:lineRule="auto"/>
        <w:rPr>
          <w:rFonts w:ascii="Times New Roman" w:hAnsi="Times New Roman"/>
          <w:b/>
          <w:bCs/>
          <w:sz w:val="24"/>
          <w:szCs w:val="24"/>
        </w:rPr>
      </w:pPr>
      <w:proofErr w:type="gramStart"/>
      <w:r w:rsidRPr="00B23ABA">
        <w:rPr>
          <w:rFonts w:ascii="Times New Roman" w:hAnsi="Times New Roman"/>
          <w:b/>
          <w:bCs/>
          <w:sz w:val="24"/>
          <w:szCs w:val="24"/>
        </w:rPr>
        <w:t xml:space="preserve">7.0  </w:t>
      </w:r>
      <w:r w:rsidR="00063A07" w:rsidRPr="00B23ABA">
        <w:rPr>
          <w:rFonts w:ascii="Times New Roman" w:hAnsi="Times New Roman"/>
          <w:b/>
          <w:bCs/>
          <w:sz w:val="24"/>
          <w:szCs w:val="24"/>
        </w:rPr>
        <w:t>References</w:t>
      </w:r>
      <w:proofErr w:type="gramEnd"/>
    </w:p>
    <w:p w14:paraId="4B14130C" w14:textId="77777777" w:rsidR="00E30043" w:rsidRDefault="00E30043" w:rsidP="00301629">
      <w:pPr>
        <w:spacing w:after="0" w:line="480" w:lineRule="auto"/>
        <w:rPr>
          <w:rFonts w:ascii="Times New Roman" w:hAnsi="Times New Roman"/>
          <w:noProof/>
          <w:sz w:val="24"/>
          <w:szCs w:val="24"/>
        </w:rPr>
      </w:pPr>
      <w:bookmarkStart w:id="28" w:name="Mendeley_Bookmark_UvDVOrl2Q6"/>
    </w:p>
    <w:p w14:paraId="13749018" w14:textId="365A8E5B"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Amec Foster Wheeler, 2017. Perfluorinated Compounds Release Response at Multiple BRAC Bases: Site 8 Pilot Test Results Report, Former Pease Air Force Base. Lackland, TX.</w:t>
      </w:r>
    </w:p>
    <w:p w14:paraId="30D10B25" w14:textId="77777777" w:rsidR="007F4907" w:rsidRDefault="007F4907" w:rsidP="00301629">
      <w:pPr>
        <w:spacing w:after="0" w:line="480" w:lineRule="auto"/>
        <w:rPr>
          <w:rFonts w:ascii="Times New Roman" w:hAnsi="Times New Roman"/>
          <w:noProof/>
          <w:sz w:val="24"/>
          <w:szCs w:val="24"/>
        </w:rPr>
      </w:pPr>
    </w:p>
    <w:p w14:paraId="79C8AE79" w14:textId="52CA2A99"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Anderson, R.H., Long, G.C., Porter, R.C., Anderson, J.K., 2016. Occurrence of select perfluoroalkyl substances at U.S. Air Force aqueous film-forming foam release sites other than fire-training areas: Field-validation of critical fate and transport properties. Chemosphere 150, 678–685. doi:10.1016/j.chemosphere.2016.01.014</w:t>
      </w:r>
    </w:p>
    <w:p w14:paraId="09D13229" w14:textId="77777777" w:rsidR="007F4907" w:rsidRDefault="007F4907" w:rsidP="00301629">
      <w:pPr>
        <w:spacing w:after="0" w:line="480" w:lineRule="auto"/>
        <w:rPr>
          <w:rFonts w:ascii="Times New Roman" w:hAnsi="Times New Roman"/>
          <w:noProof/>
          <w:sz w:val="24"/>
          <w:szCs w:val="24"/>
        </w:rPr>
      </w:pPr>
    </w:p>
    <w:p w14:paraId="22DA5C48" w14:textId="6CC3CE7F"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 xml:space="preserve">Appleman, T.D., Dickenson, E.R. V, Bellona, C., Higgins, C.P., 2013. Nanofiltration and granular activated carbon treatment of perfluoroalkyl acids. J. Hazard. Mater. </w:t>
      </w:r>
      <w:r w:rsidR="006D1942">
        <w:rPr>
          <w:rFonts w:ascii="Times New Roman" w:hAnsi="Times New Roman"/>
          <w:noProof/>
          <w:sz w:val="24"/>
          <w:szCs w:val="24"/>
        </w:rPr>
        <w:t xml:space="preserve">260, 740-746. </w:t>
      </w:r>
      <w:r w:rsidRPr="00301629">
        <w:rPr>
          <w:rFonts w:ascii="Times New Roman" w:hAnsi="Times New Roman"/>
          <w:noProof/>
          <w:sz w:val="24"/>
          <w:szCs w:val="24"/>
        </w:rPr>
        <w:t>doi:10.1016/j.jhazmat.2013.06.033</w:t>
      </w:r>
    </w:p>
    <w:p w14:paraId="31BACD5C" w14:textId="77777777" w:rsidR="007F4907" w:rsidRDefault="007F4907" w:rsidP="00301629">
      <w:pPr>
        <w:spacing w:after="0" w:line="480" w:lineRule="auto"/>
        <w:rPr>
          <w:rFonts w:ascii="Times New Roman" w:hAnsi="Times New Roman"/>
          <w:noProof/>
          <w:sz w:val="24"/>
          <w:szCs w:val="24"/>
        </w:rPr>
      </w:pPr>
    </w:p>
    <w:p w14:paraId="2E13079B" w14:textId="248E19C1"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Appleman, T.D., Higgins, C.P., Quiñones, O., Vanderford, B.J., Kolstad, C., Zeigler-Holady, J.C., Dickenson, E.R. V, 2014. Treatment of poly- and perfluoroalkyl substances in U.S. full-scale water treatment systems. Water Res.</w:t>
      </w:r>
      <w:r w:rsidR="006D1942">
        <w:rPr>
          <w:rFonts w:ascii="Times New Roman" w:hAnsi="Times New Roman"/>
          <w:noProof/>
          <w:sz w:val="24"/>
          <w:szCs w:val="24"/>
        </w:rPr>
        <w:t xml:space="preserve"> 15(51), 246-255.</w:t>
      </w:r>
      <w:r w:rsidRPr="00301629">
        <w:rPr>
          <w:rFonts w:ascii="Times New Roman" w:hAnsi="Times New Roman"/>
          <w:noProof/>
          <w:sz w:val="24"/>
          <w:szCs w:val="24"/>
        </w:rPr>
        <w:t xml:space="preserve"> doi:10.1016/j.watres.2013.10.067</w:t>
      </w:r>
    </w:p>
    <w:p w14:paraId="4BDDF758" w14:textId="77777777" w:rsidR="007F4907" w:rsidRDefault="007F4907" w:rsidP="00301629">
      <w:pPr>
        <w:spacing w:after="0" w:line="480" w:lineRule="auto"/>
        <w:rPr>
          <w:rFonts w:ascii="Times New Roman" w:hAnsi="Times New Roman"/>
          <w:noProof/>
          <w:sz w:val="24"/>
          <w:szCs w:val="24"/>
        </w:rPr>
      </w:pPr>
    </w:p>
    <w:p w14:paraId="2B1789CB" w14:textId="666500D6"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Asdrubali, F., Baldinelli, G., D’Alessandro, F., Scrucca, F., 2015. Life cycle assessment of electricity production from renewable energies: Review and results harmonization. Renew. Sustain. Energy Rev. 42, 1113–1122. doi:10.1016/j.rser.2014.10.082</w:t>
      </w:r>
    </w:p>
    <w:p w14:paraId="0C5976B3" w14:textId="77777777" w:rsidR="007F4907" w:rsidRDefault="007F4907" w:rsidP="00301629">
      <w:pPr>
        <w:spacing w:after="0" w:line="480" w:lineRule="auto"/>
        <w:rPr>
          <w:rFonts w:ascii="Times New Roman" w:hAnsi="Times New Roman"/>
          <w:noProof/>
          <w:sz w:val="24"/>
          <w:szCs w:val="24"/>
        </w:rPr>
      </w:pPr>
    </w:p>
    <w:p w14:paraId="52D5ACDF" w14:textId="5F2B6D58"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Bayer, P., Finkel, M., 2006. Life cycle assessment of active and passive groundwater remediation technologies. J. Contam. Hydrol. 83, 171–199. doi:10.1016/j.jconhyd.2005.11.005</w:t>
      </w:r>
    </w:p>
    <w:p w14:paraId="6A55BD8D" w14:textId="6BD79EF0" w:rsidR="007918A9" w:rsidRPr="00301629" w:rsidRDefault="007918A9" w:rsidP="00301629">
      <w:pPr>
        <w:pStyle w:val="Default"/>
        <w:spacing w:line="480" w:lineRule="auto"/>
        <w:rPr>
          <w:rFonts w:ascii="Times New Roman" w:hAnsi="Times New Roman" w:cs="Times New Roman"/>
          <w:color w:val="auto"/>
        </w:rPr>
      </w:pPr>
      <w:r w:rsidRPr="00301629">
        <w:rPr>
          <w:rFonts w:ascii="Times New Roman" w:hAnsi="Times New Roman" w:cs="Times New Roman"/>
          <w:color w:val="auto"/>
        </w:rPr>
        <w:t xml:space="preserve">CDPH (Colorado department of public health) 2016. PFC Levels in Environmental Water Samples Collected from the Widefield Aquifer Region. </w:t>
      </w:r>
      <w:r w:rsidR="006D1942">
        <w:rPr>
          <w:rFonts w:ascii="Times New Roman" w:hAnsi="Times New Roman" w:cs="Times New Roman"/>
          <w:color w:val="auto"/>
        </w:rPr>
        <w:t xml:space="preserve">Available at: </w:t>
      </w:r>
      <w:hyperlink r:id="rId22" w:history="1">
        <w:r w:rsidRPr="00301629">
          <w:rPr>
            <w:rStyle w:val="Hyperlink"/>
            <w:rFonts w:ascii="Times New Roman" w:hAnsi="Times New Roman" w:cs="Times New Roman"/>
          </w:rPr>
          <w:t>https://www.colorado.gov/pacific/sites/default/files/WQ_PFC_Environmental-data-table.pdf</w:t>
        </w:r>
      </w:hyperlink>
      <w:r w:rsidR="006D1942">
        <w:rPr>
          <w:rFonts w:ascii="Times New Roman" w:hAnsi="Times New Roman" w:cs="Times New Roman"/>
          <w:color w:val="auto"/>
        </w:rPr>
        <w:t xml:space="preserve"> (Accessed 8 September 2020).</w:t>
      </w:r>
    </w:p>
    <w:p w14:paraId="7655C28E" w14:textId="77777777" w:rsidR="007918A9" w:rsidRPr="00301629" w:rsidRDefault="007918A9" w:rsidP="00301629">
      <w:pPr>
        <w:spacing w:after="0" w:line="480" w:lineRule="auto"/>
        <w:rPr>
          <w:rFonts w:ascii="Times New Roman" w:hAnsi="Times New Roman"/>
          <w:noProof/>
          <w:sz w:val="24"/>
          <w:szCs w:val="24"/>
        </w:rPr>
      </w:pPr>
    </w:p>
    <w:p w14:paraId="5315B6D9" w14:textId="7E1DC1E5"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Ciroth, A., Muller, S., Weidema, B.P., Lesage, P., 2012. Refining the pedigree matrix approach in ecoinvent: Towards empirical uncertainty factors, LCA Discussion Forum.</w:t>
      </w:r>
      <w:r w:rsidR="006D1942">
        <w:rPr>
          <w:rFonts w:ascii="Times New Roman" w:hAnsi="Times New Roman"/>
          <w:noProof/>
          <w:sz w:val="24"/>
          <w:szCs w:val="24"/>
        </w:rPr>
        <w:t xml:space="preserve"> Available at: </w:t>
      </w:r>
      <w:hyperlink r:id="rId23" w:history="1">
        <w:r w:rsidR="006D1942">
          <w:rPr>
            <w:rStyle w:val="Hyperlink"/>
          </w:rPr>
          <w:t>https://lca-net.com/publications/show/refining-pedigree-matrix-approach-ecoinvent/</w:t>
        </w:r>
      </w:hyperlink>
      <w:r w:rsidR="006D1942">
        <w:t xml:space="preserve"> (Accessed 8 September 2020).</w:t>
      </w:r>
    </w:p>
    <w:p w14:paraId="462D5322" w14:textId="77777777" w:rsidR="007F4907" w:rsidRDefault="007F4907" w:rsidP="00301629">
      <w:pPr>
        <w:spacing w:after="0" w:line="480" w:lineRule="auto"/>
        <w:rPr>
          <w:rFonts w:ascii="Times New Roman" w:hAnsi="Times New Roman"/>
          <w:noProof/>
          <w:sz w:val="24"/>
          <w:szCs w:val="24"/>
        </w:rPr>
      </w:pPr>
    </w:p>
    <w:p w14:paraId="03148704" w14:textId="3EF488B5"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Dickenson, E.R.V., Higgins, C., 2016a. Treatment Mitigation Strategies for Poly- and Perfluoroalkyl Substances Subject Area : Water Quality Treatment Mitigation Strategies for Poly- and Perfluoroalkyl Substances, Water Research Foundation.</w:t>
      </w:r>
    </w:p>
    <w:p w14:paraId="17E0B8C9" w14:textId="77777777" w:rsidR="007F4907" w:rsidRDefault="007F4907" w:rsidP="00301629">
      <w:pPr>
        <w:spacing w:after="0" w:line="480" w:lineRule="auto"/>
        <w:rPr>
          <w:rFonts w:ascii="Times New Roman" w:hAnsi="Times New Roman"/>
          <w:noProof/>
          <w:sz w:val="24"/>
          <w:szCs w:val="24"/>
        </w:rPr>
      </w:pPr>
    </w:p>
    <w:p w14:paraId="458C524F" w14:textId="53DB1C7D"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Dickenson, E.R.V., Higgins, C., 2016b. Water quality treatment mitigation strategies for poly- and perfluoroalkyl substances. Denver, CO.</w:t>
      </w:r>
    </w:p>
    <w:p w14:paraId="45A3CA7B" w14:textId="77777777" w:rsidR="007F4907" w:rsidRDefault="007F4907" w:rsidP="00301629">
      <w:pPr>
        <w:spacing w:after="0" w:line="480" w:lineRule="auto"/>
        <w:rPr>
          <w:rFonts w:ascii="Times New Roman" w:hAnsi="Times New Roman"/>
          <w:noProof/>
          <w:sz w:val="24"/>
          <w:szCs w:val="24"/>
        </w:rPr>
      </w:pPr>
    </w:p>
    <w:p w14:paraId="333E80D6" w14:textId="231DB48A"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Fantin, V., Scalbi, S., Ottaviano, G., Masoni, P., 2014. A method for improving reliability and relevance of LCA reviews: The case of life-cycle greenhouse gas emissions of tap and bottled water. Sci. Total Environ. 476–477, 228–241. doi:10.1016/j.scitotenv.2013.12.115</w:t>
      </w:r>
    </w:p>
    <w:p w14:paraId="6793C340" w14:textId="77777777" w:rsidR="007F4907" w:rsidRDefault="007F4907" w:rsidP="00301629">
      <w:pPr>
        <w:spacing w:after="0" w:line="480" w:lineRule="auto"/>
        <w:rPr>
          <w:rFonts w:ascii="Times New Roman" w:hAnsi="Times New Roman"/>
          <w:noProof/>
          <w:sz w:val="24"/>
          <w:szCs w:val="24"/>
        </w:rPr>
      </w:pPr>
    </w:p>
    <w:p w14:paraId="3A76D212" w14:textId="77777777" w:rsidR="00472EA2" w:rsidRPr="00301629" w:rsidRDefault="00472EA2" w:rsidP="00472EA2">
      <w:pPr>
        <w:spacing w:after="0" w:line="480" w:lineRule="auto"/>
        <w:rPr>
          <w:rFonts w:ascii="Times New Roman" w:hAnsi="Times New Roman"/>
          <w:noProof/>
          <w:sz w:val="24"/>
          <w:szCs w:val="24"/>
        </w:rPr>
      </w:pPr>
      <w:r w:rsidRPr="00301629">
        <w:rPr>
          <w:rFonts w:ascii="Times New Roman" w:hAnsi="Times New Roman"/>
          <w:noProof/>
          <w:sz w:val="24"/>
          <w:szCs w:val="24"/>
        </w:rPr>
        <w:t>Finkbeiner</w:t>
      </w:r>
      <w:r>
        <w:rPr>
          <w:rFonts w:ascii="Times New Roman" w:hAnsi="Times New Roman"/>
          <w:noProof/>
          <w:sz w:val="24"/>
          <w:szCs w:val="24"/>
        </w:rPr>
        <w:t>, M.</w:t>
      </w:r>
      <w:r w:rsidRPr="00301629">
        <w:rPr>
          <w:rFonts w:ascii="Times New Roman" w:hAnsi="Times New Roman"/>
          <w:noProof/>
          <w:sz w:val="24"/>
          <w:szCs w:val="24"/>
        </w:rPr>
        <w:t>, Inaba</w:t>
      </w:r>
      <w:r>
        <w:rPr>
          <w:rFonts w:ascii="Times New Roman" w:hAnsi="Times New Roman"/>
          <w:noProof/>
          <w:sz w:val="24"/>
          <w:szCs w:val="24"/>
        </w:rPr>
        <w:t>, A.</w:t>
      </w:r>
      <w:r w:rsidRPr="00301629">
        <w:rPr>
          <w:rFonts w:ascii="Times New Roman" w:hAnsi="Times New Roman"/>
          <w:noProof/>
          <w:sz w:val="24"/>
          <w:szCs w:val="24"/>
        </w:rPr>
        <w:t>, Tan</w:t>
      </w:r>
      <w:r>
        <w:rPr>
          <w:rFonts w:ascii="Times New Roman" w:hAnsi="Times New Roman"/>
          <w:noProof/>
          <w:sz w:val="24"/>
          <w:szCs w:val="24"/>
        </w:rPr>
        <w:t>, R.B.H.</w:t>
      </w:r>
      <w:r w:rsidRPr="00301629">
        <w:rPr>
          <w:rFonts w:ascii="Times New Roman" w:hAnsi="Times New Roman"/>
          <w:noProof/>
          <w:sz w:val="24"/>
          <w:szCs w:val="24"/>
        </w:rPr>
        <w:t>, Christiansen,</w:t>
      </w:r>
      <w:r>
        <w:rPr>
          <w:rFonts w:ascii="Times New Roman" w:hAnsi="Times New Roman"/>
          <w:noProof/>
          <w:sz w:val="24"/>
          <w:szCs w:val="24"/>
        </w:rPr>
        <w:t xml:space="preserve"> K.,</w:t>
      </w:r>
      <w:r w:rsidRPr="00301629">
        <w:rPr>
          <w:rFonts w:ascii="Times New Roman" w:hAnsi="Times New Roman"/>
          <w:noProof/>
          <w:sz w:val="24"/>
          <w:szCs w:val="24"/>
        </w:rPr>
        <w:t xml:space="preserve"> Klüppel</w:t>
      </w:r>
      <w:r>
        <w:rPr>
          <w:rFonts w:ascii="Times New Roman" w:hAnsi="Times New Roman"/>
          <w:noProof/>
          <w:sz w:val="24"/>
          <w:szCs w:val="24"/>
        </w:rPr>
        <w:t>, H.J.,</w:t>
      </w:r>
      <w:r w:rsidRPr="00301629">
        <w:rPr>
          <w:rFonts w:ascii="Times New Roman" w:hAnsi="Times New Roman"/>
          <w:noProof/>
          <w:sz w:val="24"/>
          <w:szCs w:val="24"/>
        </w:rPr>
        <w:t xml:space="preserve"> (2006). The new international standards for life cycle assessment: ISO 14040 and ISO 14044. International Journal of Life Cycle Assessment, 11 (2), pp. 80-85.</w:t>
      </w:r>
    </w:p>
    <w:p w14:paraId="6F12ACA9" w14:textId="77777777" w:rsidR="00472EA2" w:rsidRDefault="00472EA2" w:rsidP="00301629">
      <w:pPr>
        <w:spacing w:after="0" w:line="480" w:lineRule="auto"/>
        <w:rPr>
          <w:rFonts w:ascii="Times New Roman" w:hAnsi="Times New Roman"/>
          <w:noProof/>
          <w:sz w:val="24"/>
          <w:szCs w:val="24"/>
        </w:rPr>
      </w:pPr>
    </w:p>
    <w:p w14:paraId="03DDDC58" w14:textId="2AB654D4"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Garfí, M., Cadena, E., Sanchez-Ramos, D., Ferrer, I., 2016. Life cycle assessment of drinking water: Comparing conventional water treatment, reverse osmosis and mineral water in glass and plastic bottles. J. Clean. Prod. 137, 997–1003. doi:10.1016/j.jclepro.2016.07.218</w:t>
      </w:r>
    </w:p>
    <w:p w14:paraId="0B9C2766" w14:textId="77777777" w:rsidR="00472EA2" w:rsidRDefault="00472EA2" w:rsidP="00301629">
      <w:pPr>
        <w:spacing w:after="0" w:line="480" w:lineRule="auto"/>
        <w:rPr>
          <w:rFonts w:ascii="Times New Roman" w:hAnsi="Times New Roman"/>
          <w:noProof/>
          <w:sz w:val="24"/>
          <w:szCs w:val="24"/>
        </w:rPr>
      </w:pPr>
    </w:p>
    <w:p w14:paraId="715ABDC2" w14:textId="7B65CDFC"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Gleick, P.H., Cooley, H.S., 2009. Energy implications of bottled water. Environ. Res. Lett. 4, 14009. doi:10.1088/1748-9326/4/1/014009</w:t>
      </w:r>
    </w:p>
    <w:p w14:paraId="1729EF25" w14:textId="77777777" w:rsidR="007F4907" w:rsidRDefault="007F4907" w:rsidP="00301629">
      <w:pPr>
        <w:spacing w:after="0" w:line="480" w:lineRule="auto"/>
        <w:rPr>
          <w:rFonts w:ascii="Times New Roman" w:hAnsi="Times New Roman"/>
          <w:noProof/>
          <w:sz w:val="24"/>
          <w:szCs w:val="24"/>
        </w:rPr>
      </w:pPr>
    </w:p>
    <w:p w14:paraId="1FD120D8" w14:textId="3EC81C2F" w:rsidR="00E353A3" w:rsidRPr="00301629" w:rsidRDefault="00E353A3" w:rsidP="00301629">
      <w:pPr>
        <w:spacing w:after="0" w:line="480" w:lineRule="auto"/>
        <w:rPr>
          <w:rFonts w:ascii="Times New Roman" w:hAnsi="Times New Roman"/>
          <w:noProof/>
          <w:sz w:val="24"/>
          <w:szCs w:val="24"/>
        </w:rPr>
      </w:pPr>
      <w:r w:rsidRPr="00301629">
        <w:rPr>
          <w:rFonts w:ascii="Times New Roman" w:hAnsi="Times New Roman"/>
          <w:noProof/>
          <w:sz w:val="24"/>
          <w:szCs w:val="24"/>
        </w:rPr>
        <w:lastRenderedPageBreak/>
        <w:t>Hauschild M.Z, Goedkoop M., Guinee J., Heijungs R., Huijbregts M., Jolliet O., Margni M., de Schryver A., Humbert S., Laurent A., Sala S., Pant R., 2013. Identifying best existing practice for characterization modeling in life cycle impacts assessment. Int J Life Cycle Assess. 18:683-697. doi:http://doi.org/10.1007/s11367-012-0489-5</w:t>
      </w:r>
    </w:p>
    <w:p w14:paraId="6A9D18F7" w14:textId="77777777" w:rsidR="007F4907" w:rsidRDefault="007F4907" w:rsidP="00301629">
      <w:pPr>
        <w:spacing w:after="0" w:line="480" w:lineRule="auto"/>
        <w:rPr>
          <w:rFonts w:ascii="Times New Roman" w:hAnsi="Times New Roman"/>
          <w:noProof/>
          <w:sz w:val="24"/>
          <w:szCs w:val="24"/>
        </w:rPr>
      </w:pPr>
    </w:p>
    <w:p w14:paraId="4C74D177" w14:textId="4F28C868"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Hertwich, E.G., Gibon, T., Bouman, E.A., Arvesen, A., Suh, S., Heath, G.A., Bergesen, J.D., Ramirez, A., Vega, M.I., Shi, L., 2014. Integrated life-cycle assessment of electricity-supply scenarios confirms global environmental benefit of low-carbon technologies. Proc. Natl. Acad. Sci. U. S. A. 112, 6277–6282. doi:10.1073/pnas.1312753111</w:t>
      </w:r>
    </w:p>
    <w:p w14:paraId="0130EDC0" w14:textId="77777777" w:rsidR="007F4907" w:rsidRDefault="007F4907" w:rsidP="00301629">
      <w:pPr>
        <w:spacing w:after="0" w:line="480" w:lineRule="auto"/>
        <w:rPr>
          <w:rFonts w:ascii="Times New Roman" w:hAnsi="Times New Roman"/>
          <w:noProof/>
          <w:sz w:val="24"/>
          <w:szCs w:val="24"/>
        </w:rPr>
      </w:pPr>
    </w:p>
    <w:p w14:paraId="3894AC08" w14:textId="27D3BE1C"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Huijbregts, M.A.J., Rombouts, L.J.A., Ragas, A.M.J., van de Meent, D., 2005. Human-Toxicological Effect and Damage Factors of Carcinogenic and Noncarcinogenic Chemicals for Life Cycle Impact Assessment Human-Toxicological Effect and Damage Factors of Carcinogenic and Noncarcinogenic Chemicals for Life Cycle Impact Assessment. Integr. Environ. Assess. Manag. 1, 181–244. doi:http://dx.doi.org/10.1897/2004-007R.1</w:t>
      </w:r>
    </w:p>
    <w:p w14:paraId="5B23D5C4" w14:textId="77777777" w:rsidR="007F4907" w:rsidRDefault="007F4907" w:rsidP="00301629">
      <w:pPr>
        <w:spacing w:after="0" w:line="480" w:lineRule="auto"/>
        <w:rPr>
          <w:rFonts w:ascii="Times New Roman" w:hAnsi="Times New Roman"/>
          <w:noProof/>
          <w:sz w:val="24"/>
          <w:szCs w:val="24"/>
        </w:rPr>
      </w:pPr>
    </w:p>
    <w:p w14:paraId="05C07BB9" w14:textId="726656FB"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Hutchinson, R.A., 1975. Thermal regeneration costs. Chem. Eng. Prog. 71, 86–88.</w:t>
      </w:r>
    </w:p>
    <w:p w14:paraId="30A536F9" w14:textId="77777777" w:rsidR="007F4907" w:rsidRDefault="007F4907" w:rsidP="00301629">
      <w:pPr>
        <w:spacing w:after="0" w:line="480" w:lineRule="auto"/>
        <w:rPr>
          <w:rFonts w:ascii="Times New Roman" w:hAnsi="Times New Roman"/>
          <w:noProof/>
          <w:sz w:val="24"/>
          <w:szCs w:val="24"/>
        </w:rPr>
      </w:pPr>
    </w:p>
    <w:p w14:paraId="44571324" w14:textId="5F66D7FC"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Isla-cabaraban, M.T., Marc, G., Cabaraban, S., 2016. Generating electricity from spent activated carbon: Life cycle environmental benefits. WSEAS Trans. Environ. Dev. 12, 1–8.</w:t>
      </w:r>
    </w:p>
    <w:p w14:paraId="6270A54C" w14:textId="77777777" w:rsidR="007F4907" w:rsidRDefault="007F4907" w:rsidP="00301629">
      <w:pPr>
        <w:spacing w:after="0" w:line="480" w:lineRule="auto"/>
        <w:rPr>
          <w:rFonts w:ascii="Times New Roman" w:hAnsi="Times New Roman"/>
          <w:noProof/>
          <w:sz w:val="24"/>
          <w:szCs w:val="24"/>
        </w:rPr>
      </w:pPr>
    </w:p>
    <w:p w14:paraId="5B8628FD" w14:textId="4D3AC3A6"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 xml:space="preserve">Jeswani, H.K., Gujba, H., Brown, N.W., Roberts, E.P.L., Azapagic, A., 2015. Removal of organic compounds from water: Life cycle environmental impacts and economic costs of the </w:t>
      </w:r>
      <w:r w:rsidRPr="00301629">
        <w:rPr>
          <w:rFonts w:ascii="Times New Roman" w:hAnsi="Times New Roman"/>
          <w:noProof/>
          <w:sz w:val="24"/>
          <w:szCs w:val="24"/>
        </w:rPr>
        <w:lastRenderedPageBreak/>
        <w:t>Arvia process compared to granulated activated carbon. J. Clean. Prod. 89, 203–213. doi:10.1016/j.jclepro.2014.11.017</w:t>
      </w:r>
    </w:p>
    <w:p w14:paraId="1EF71884" w14:textId="77777777" w:rsidR="007F4907" w:rsidRDefault="007F4907" w:rsidP="00301629">
      <w:pPr>
        <w:spacing w:after="0" w:line="480" w:lineRule="auto"/>
        <w:rPr>
          <w:rFonts w:ascii="Times New Roman" w:hAnsi="Times New Roman"/>
          <w:noProof/>
          <w:sz w:val="24"/>
          <w:szCs w:val="24"/>
        </w:rPr>
      </w:pPr>
    </w:p>
    <w:p w14:paraId="44DF54BE" w14:textId="16824754"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Krishnan, N., Boyd, S., Somani, A., Raoux, S., Clark, D., Dornfeld, D., 2008. A hybrid life cycle inventory of nano-scale semiconductor manufacturing. Environ. Sci. Technol. 42, 3069–3075. doi:10.1021/es071174k</w:t>
      </w:r>
    </w:p>
    <w:p w14:paraId="6EC2FF2A" w14:textId="77777777" w:rsidR="007F4907" w:rsidRDefault="007F4907" w:rsidP="00301629">
      <w:pPr>
        <w:spacing w:after="0" w:line="480" w:lineRule="auto"/>
        <w:rPr>
          <w:rFonts w:ascii="Times New Roman" w:hAnsi="Times New Roman"/>
          <w:noProof/>
          <w:sz w:val="24"/>
          <w:szCs w:val="24"/>
        </w:rPr>
      </w:pPr>
    </w:p>
    <w:p w14:paraId="37FAB2EE" w14:textId="0CFEE78C"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Quantis, 2010. Nestlé Waters North America: Environmental Life Cycle Assessment of Drinking Water Alternatives and Consumer Beverage Consumption in North America. Salem, MA.</w:t>
      </w:r>
      <w:r w:rsidR="0006200B">
        <w:rPr>
          <w:rFonts w:ascii="Times New Roman" w:hAnsi="Times New Roman"/>
          <w:noProof/>
          <w:sz w:val="24"/>
          <w:szCs w:val="24"/>
        </w:rPr>
        <w:t xml:space="preserve"> Available at: </w:t>
      </w:r>
      <w:hyperlink r:id="rId24" w:history="1">
        <w:r w:rsidR="0006200B">
          <w:rPr>
            <w:rStyle w:val="Hyperlink"/>
          </w:rPr>
          <w:t>https://www.nestle-watersna.com/sites/g/files/pydnoa606/files/asset-library/documents/nwna_lca_report_020410.pdf</w:t>
        </w:r>
      </w:hyperlink>
      <w:r w:rsidR="0006200B">
        <w:t xml:space="preserve"> (Accessed 8 September 2020).</w:t>
      </w:r>
    </w:p>
    <w:p w14:paraId="67A96E4E" w14:textId="77777777" w:rsidR="00564DA7" w:rsidRDefault="00564DA7" w:rsidP="00301629">
      <w:pPr>
        <w:spacing w:after="0" w:line="480" w:lineRule="auto"/>
        <w:rPr>
          <w:rFonts w:ascii="Times New Roman" w:hAnsi="Times New Roman"/>
          <w:noProof/>
          <w:sz w:val="24"/>
          <w:szCs w:val="24"/>
        </w:rPr>
      </w:pPr>
    </w:p>
    <w:p w14:paraId="2B325553" w14:textId="78315855"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 xml:space="preserve">USCDC, 2016. Deaths and Mortality [WWW Document]. FastStats. </w:t>
      </w:r>
      <w:r w:rsidR="0006200B">
        <w:rPr>
          <w:rFonts w:ascii="Times New Roman" w:hAnsi="Times New Roman"/>
          <w:noProof/>
          <w:sz w:val="24"/>
          <w:szCs w:val="24"/>
        </w:rPr>
        <w:t>Available at:</w:t>
      </w:r>
      <w:r w:rsidRPr="00301629">
        <w:rPr>
          <w:rFonts w:ascii="Times New Roman" w:hAnsi="Times New Roman"/>
          <w:noProof/>
          <w:sz w:val="24"/>
          <w:szCs w:val="24"/>
        </w:rPr>
        <w:t xml:space="preserve"> https://www.cdc.gov/nchs/fastats/deaths.htm (</w:t>
      </w:r>
      <w:r w:rsidR="0006200B">
        <w:rPr>
          <w:rFonts w:ascii="Times New Roman" w:hAnsi="Times New Roman"/>
          <w:noProof/>
          <w:sz w:val="24"/>
          <w:szCs w:val="24"/>
        </w:rPr>
        <w:t>A</w:t>
      </w:r>
      <w:r w:rsidRPr="00301629">
        <w:rPr>
          <w:rFonts w:ascii="Times New Roman" w:hAnsi="Times New Roman"/>
          <w:noProof/>
          <w:sz w:val="24"/>
          <w:szCs w:val="24"/>
        </w:rPr>
        <w:t xml:space="preserve">ccessed </w:t>
      </w:r>
      <w:r w:rsidR="0006200B">
        <w:rPr>
          <w:rFonts w:ascii="Times New Roman" w:hAnsi="Times New Roman"/>
          <w:noProof/>
          <w:sz w:val="24"/>
          <w:szCs w:val="24"/>
        </w:rPr>
        <w:t>10 March 2017</w:t>
      </w:r>
      <w:r w:rsidRPr="00301629">
        <w:rPr>
          <w:rFonts w:ascii="Times New Roman" w:hAnsi="Times New Roman"/>
          <w:noProof/>
          <w:sz w:val="24"/>
          <w:szCs w:val="24"/>
        </w:rPr>
        <w:t>).</w:t>
      </w:r>
    </w:p>
    <w:p w14:paraId="52FCD880" w14:textId="77777777" w:rsidR="00564DA7" w:rsidRDefault="00564DA7" w:rsidP="00301629">
      <w:pPr>
        <w:spacing w:after="0" w:line="480" w:lineRule="auto"/>
        <w:rPr>
          <w:rFonts w:ascii="Times New Roman" w:hAnsi="Times New Roman"/>
          <w:noProof/>
          <w:sz w:val="24"/>
          <w:szCs w:val="24"/>
        </w:rPr>
      </w:pPr>
    </w:p>
    <w:p w14:paraId="4500242C" w14:textId="2E3602BC"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USEPA, 2017. Inventory of U.S. Greenhouse Gas Emissions and Sinks: 1990-2015, Chapter 4: Industrial Processes and Product Use. Washington, DC.</w:t>
      </w:r>
      <w:r w:rsidR="00241166">
        <w:rPr>
          <w:rFonts w:ascii="Times New Roman" w:hAnsi="Times New Roman"/>
          <w:noProof/>
          <w:sz w:val="24"/>
          <w:szCs w:val="24"/>
        </w:rPr>
        <w:t xml:space="preserve"> Available at: </w:t>
      </w:r>
      <w:hyperlink r:id="rId25" w:history="1">
        <w:r w:rsidR="00241166">
          <w:rPr>
            <w:rStyle w:val="Hyperlink"/>
          </w:rPr>
          <w:t>https://www.epa.gov/ghgemissions/inventory-us-greenhouse-gas-emissions-and-sinks</w:t>
        </w:r>
      </w:hyperlink>
      <w:r w:rsidR="00241166">
        <w:t xml:space="preserve"> (Accessed 8 September 2020).</w:t>
      </w:r>
    </w:p>
    <w:p w14:paraId="3477096E" w14:textId="77777777" w:rsidR="00564DA7" w:rsidRDefault="00564DA7" w:rsidP="00301629">
      <w:pPr>
        <w:spacing w:after="0" w:line="480" w:lineRule="auto"/>
        <w:rPr>
          <w:rFonts w:ascii="Times New Roman" w:hAnsi="Times New Roman"/>
          <w:noProof/>
          <w:sz w:val="24"/>
          <w:szCs w:val="24"/>
        </w:rPr>
      </w:pPr>
    </w:p>
    <w:p w14:paraId="31788FB7" w14:textId="4EB2DA1F"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USEPA, 2016a. Health Effects Support Document for Perfluorooctanoic Acid (PFOA). Washington, DC.</w:t>
      </w:r>
      <w:r w:rsidR="00241166">
        <w:rPr>
          <w:rFonts w:ascii="Times New Roman" w:hAnsi="Times New Roman"/>
          <w:noProof/>
          <w:sz w:val="24"/>
          <w:szCs w:val="24"/>
        </w:rPr>
        <w:t xml:space="preserve"> Available at: </w:t>
      </w:r>
      <w:hyperlink r:id="rId26" w:history="1">
        <w:r w:rsidR="00241166">
          <w:rPr>
            <w:rStyle w:val="Hyperlink"/>
          </w:rPr>
          <w:t>https://www.epa.gov/sites/production/files/2016-05/documents/pfoa_hesd_final-plain.pdf</w:t>
        </w:r>
      </w:hyperlink>
      <w:r w:rsidR="00241166">
        <w:t xml:space="preserve"> (Accessed 8 September 2020).</w:t>
      </w:r>
    </w:p>
    <w:p w14:paraId="1A7DF149" w14:textId="77777777" w:rsidR="00564DA7" w:rsidRDefault="00564DA7" w:rsidP="00301629">
      <w:pPr>
        <w:spacing w:after="0" w:line="480" w:lineRule="auto"/>
        <w:rPr>
          <w:rFonts w:ascii="Times New Roman" w:hAnsi="Times New Roman"/>
          <w:noProof/>
          <w:sz w:val="24"/>
          <w:szCs w:val="24"/>
        </w:rPr>
      </w:pPr>
    </w:p>
    <w:p w14:paraId="792E3040" w14:textId="20FCFCFD"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lastRenderedPageBreak/>
        <w:t>USEPA, 2016b. Drinking Water Health Advisory for Perfluorooctanoic Acid (PFOA). Washington, DC.</w:t>
      </w:r>
      <w:r w:rsidR="00241166">
        <w:rPr>
          <w:rFonts w:ascii="Times New Roman" w:hAnsi="Times New Roman"/>
          <w:noProof/>
          <w:sz w:val="24"/>
          <w:szCs w:val="24"/>
        </w:rPr>
        <w:t xml:space="preserve"> Available at: </w:t>
      </w:r>
      <w:hyperlink r:id="rId27" w:history="1">
        <w:r w:rsidR="00241166">
          <w:rPr>
            <w:rStyle w:val="Hyperlink"/>
          </w:rPr>
          <w:t>https://www.epa.gov/sites/production/files/2016-05/documents/pfoa_health_advisory_final_508.pdf</w:t>
        </w:r>
      </w:hyperlink>
      <w:r w:rsidR="00241166">
        <w:t xml:space="preserve"> (Accessed 8 September 2020).</w:t>
      </w:r>
    </w:p>
    <w:p w14:paraId="0B96BAA4" w14:textId="77777777" w:rsidR="00564DA7" w:rsidRDefault="00564DA7" w:rsidP="00301629">
      <w:pPr>
        <w:spacing w:after="0" w:line="480" w:lineRule="auto"/>
        <w:rPr>
          <w:rFonts w:ascii="Times New Roman" w:hAnsi="Times New Roman"/>
          <w:noProof/>
          <w:sz w:val="24"/>
          <w:szCs w:val="24"/>
        </w:rPr>
      </w:pPr>
    </w:p>
    <w:p w14:paraId="7BFE001B" w14:textId="2D3ECF4A"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USEPA, 2016c. Drinking Water Health Advisory for Perfluorooctane Sulfonate (PFOS). Washington, DC.</w:t>
      </w:r>
      <w:r w:rsidR="00241166">
        <w:rPr>
          <w:rFonts w:ascii="Times New Roman" w:hAnsi="Times New Roman"/>
          <w:noProof/>
          <w:sz w:val="24"/>
          <w:szCs w:val="24"/>
        </w:rPr>
        <w:t xml:space="preserve"> Available at: </w:t>
      </w:r>
      <w:hyperlink r:id="rId28" w:history="1">
        <w:r w:rsidR="00241166">
          <w:rPr>
            <w:rStyle w:val="Hyperlink"/>
          </w:rPr>
          <w:t>https://www.epa.gov/sites/production/files/2016-05/documents/pfos_health_advisory_final_508.pdf</w:t>
        </w:r>
      </w:hyperlink>
      <w:r w:rsidR="00241166">
        <w:t xml:space="preserve"> (Accessed 8 September 2020).</w:t>
      </w:r>
    </w:p>
    <w:p w14:paraId="265AC4EF" w14:textId="77777777" w:rsidR="00564DA7" w:rsidRDefault="00564DA7" w:rsidP="00301629">
      <w:pPr>
        <w:spacing w:after="0" w:line="480" w:lineRule="auto"/>
        <w:rPr>
          <w:rFonts w:ascii="Times New Roman" w:hAnsi="Times New Roman"/>
          <w:noProof/>
          <w:sz w:val="24"/>
          <w:szCs w:val="24"/>
        </w:rPr>
      </w:pPr>
    </w:p>
    <w:p w14:paraId="5A570B8F" w14:textId="521EA3C1" w:rsidR="00063A07" w:rsidRPr="00301629" w:rsidRDefault="00063A07" w:rsidP="00301629">
      <w:pPr>
        <w:spacing w:after="0" w:line="480" w:lineRule="auto"/>
        <w:rPr>
          <w:rFonts w:ascii="Times New Roman" w:hAnsi="Times New Roman"/>
          <w:noProof/>
          <w:sz w:val="24"/>
          <w:szCs w:val="24"/>
        </w:rPr>
      </w:pPr>
      <w:r w:rsidRPr="00301629">
        <w:rPr>
          <w:rFonts w:ascii="Times New Roman" w:hAnsi="Times New Roman"/>
          <w:noProof/>
          <w:sz w:val="24"/>
          <w:szCs w:val="24"/>
        </w:rPr>
        <w:t>USEPA, 2016d. Valuing mortality risk reductions for policy: a meta-analytic approach. Washington, DC.</w:t>
      </w:r>
      <w:r w:rsidR="00241166">
        <w:rPr>
          <w:rFonts w:ascii="Times New Roman" w:hAnsi="Times New Roman"/>
          <w:noProof/>
          <w:sz w:val="24"/>
          <w:szCs w:val="24"/>
        </w:rPr>
        <w:t xml:space="preserve"> Available at: </w:t>
      </w:r>
      <w:hyperlink r:id="rId29" w:history="1">
        <w:r w:rsidR="00241166">
          <w:rPr>
            <w:rStyle w:val="Hyperlink"/>
          </w:rPr>
          <w:t>https://yosemite.epa.gov/sab/sabproduct.nsf/0/0CA9E925C9A702F285257F380050C842/$File/VSL%20white%20paper_final_020516.pdf</w:t>
        </w:r>
      </w:hyperlink>
      <w:r w:rsidR="00241166">
        <w:t xml:space="preserve"> (Accessed 8 September 2020).</w:t>
      </w:r>
    </w:p>
    <w:p w14:paraId="0CEBE0C4" w14:textId="77777777" w:rsidR="00564DA7" w:rsidRDefault="00564DA7" w:rsidP="00301629">
      <w:pPr>
        <w:spacing w:after="0" w:line="480" w:lineRule="auto"/>
        <w:rPr>
          <w:rFonts w:ascii="Times New Roman" w:hAnsi="Times New Roman"/>
          <w:noProof/>
          <w:sz w:val="24"/>
          <w:szCs w:val="24"/>
        </w:rPr>
      </w:pPr>
    </w:p>
    <w:p w14:paraId="00385856" w14:textId="7F445228" w:rsidR="0054041B" w:rsidRPr="00301629" w:rsidRDefault="00063A07" w:rsidP="00301629">
      <w:pPr>
        <w:spacing w:after="0" w:line="480" w:lineRule="auto"/>
        <w:rPr>
          <w:rFonts w:ascii="Times New Roman" w:hAnsi="Times New Roman"/>
          <w:sz w:val="24"/>
          <w:szCs w:val="24"/>
        </w:rPr>
      </w:pPr>
      <w:r w:rsidRPr="00301629">
        <w:rPr>
          <w:rFonts w:ascii="Times New Roman" w:hAnsi="Times New Roman"/>
          <w:noProof/>
          <w:sz w:val="24"/>
          <w:szCs w:val="24"/>
        </w:rPr>
        <w:t>USEPA, 2011. Planning for an Emergency Drinking Water Supply Planning for an Emergency Drinking Water Supply. Washington, DC.</w:t>
      </w:r>
      <w:bookmarkEnd w:id="28"/>
      <w:r w:rsidR="00241166">
        <w:rPr>
          <w:rFonts w:ascii="Times New Roman" w:hAnsi="Times New Roman"/>
          <w:noProof/>
          <w:sz w:val="24"/>
          <w:szCs w:val="24"/>
        </w:rPr>
        <w:t xml:space="preserve"> Available at: </w:t>
      </w:r>
      <w:hyperlink r:id="rId30" w:history="1">
        <w:r w:rsidR="00241166">
          <w:rPr>
            <w:rStyle w:val="Hyperlink"/>
          </w:rPr>
          <w:t>https://www.epa.gov/sites/production/files/2015-03/documents/planning_for_an_emergency_drinking_water_supply.pdf</w:t>
        </w:r>
      </w:hyperlink>
      <w:r w:rsidR="00241166">
        <w:t xml:space="preserve"> (Accessed 8 September 2020).</w:t>
      </w:r>
      <w:r w:rsidRPr="00301629">
        <w:rPr>
          <w:rFonts w:ascii="Times New Roman" w:hAnsi="Times New Roman"/>
          <w:noProof/>
          <w:sz w:val="24"/>
          <w:szCs w:val="24"/>
        </w:rPr>
        <w:fldChar w:fldCharType="begin"/>
      </w:r>
      <w:r w:rsidRPr="00301629">
        <w:rPr>
          <w:rFonts w:ascii="Times New Roman" w:hAnsi="Times New Roman"/>
          <w:sz w:val="24"/>
          <w:szCs w:val="24"/>
        </w:rPr>
        <w:instrText xml:space="preserve"> ADDIN EN.REFLIST </w:instrText>
      </w:r>
      <w:r w:rsidRPr="00301629">
        <w:rPr>
          <w:rFonts w:ascii="Times New Roman" w:hAnsi="Times New Roman"/>
          <w:noProof/>
          <w:sz w:val="24"/>
          <w:szCs w:val="24"/>
        </w:rPr>
        <w:fldChar w:fldCharType="end"/>
      </w:r>
    </w:p>
    <w:sectPr w:rsidR="0054041B" w:rsidRPr="00301629" w:rsidSect="005302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5380D" w14:textId="77777777" w:rsidR="00A17CB7" w:rsidRDefault="00A17CB7">
      <w:pPr>
        <w:spacing w:after="0" w:line="240" w:lineRule="auto"/>
      </w:pPr>
      <w:r>
        <w:separator/>
      </w:r>
    </w:p>
  </w:endnote>
  <w:endnote w:type="continuationSeparator" w:id="0">
    <w:p w14:paraId="38A006CE" w14:textId="77777777" w:rsidR="00A17CB7" w:rsidRDefault="00A1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1DD6" w14:textId="77777777" w:rsidR="00A26DA4" w:rsidRDefault="00A26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564909"/>
      <w:docPartObj>
        <w:docPartGallery w:val="Page Numbers (Bottom of Page)"/>
        <w:docPartUnique/>
      </w:docPartObj>
    </w:sdtPr>
    <w:sdtEndPr>
      <w:rPr>
        <w:rFonts w:ascii="Times New Roman" w:hAnsi="Times New Roman"/>
        <w:noProof/>
        <w:sz w:val="24"/>
        <w:szCs w:val="24"/>
      </w:rPr>
    </w:sdtEndPr>
    <w:sdtContent>
      <w:p w14:paraId="68CC54FD" w14:textId="58C6EB54" w:rsidR="00CF4E47" w:rsidRPr="00A26DA4" w:rsidRDefault="00CF4E47">
        <w:pPr>
          <w:pStyle w:val="Footer"/>
          <w:jc w:val="center"/>
          <w:rPr>
            <w:rFonts w:ascii="Times New Roman" w:hAnsi="Times New Roman"/>
            <w:sz w:val="24"/>
            <w:szCs w:val="24"/>
          </w:rPr>
        </w:pPr>
        <w:r w:rsidRPr="00A26DA4">
          <w:rPr>
            <w:rFonts w:ascii="Times New Roman" w:hAnsi="Times New Roman"/>
            <w:sz w:val="24"/>
            <w:szCs w:val="24"/>
          </w:rPr>
          <w:fldChar w:fldCharType="begin"/>
        </w:r>
        <w:r w:rsidRPr="00A26DA4">
          <w:rPr>
            <w:rFonts w:ascii="Times New Roman" w:hAnsi="Times New Roman"/>
            <w:sz w:val="24"/>
            <w:szCs w:val="24"/>
          </w:rPr>
          <w:instrText xml:space="preserve"> PAGE   \* MERGEFORMAT </w:instrText>
        </w:r>
        <w:r w:rsidRPr="00A26DA4">
          <w:rPr>
            <w:rFonts w:ascii="Times New Roman" w:hAnsi="Times New Roman"/>
            <w:sz w:val="24"/>
            <w:szCs w:val="24"/>
          </w:rPr>
          <w:fldChar w:fldCharType="separate"/>
        </w:r>
        <w:r w:rsidRPr="00A26DA4">
          <w:rPr>
            <w:rFonts w:ascii="Times New Roman" w:hAnsi="Times New Roman"/>
            <w:noProof/>
            <w:sz w:val="24"/>
            <w:szCs w:val="24"/>
          </w:rPr>
          <w:t>2</w:t>
        </w:r>
        <w:r w:rsidRPr="00A26DA4">
          <w:rPr>
            <w:rFonts w:ascii="Times New Roman" w:hAnsi="Times New Roman"/>
            <w:noProof/>
            <w:sz w:val="24"/>
            <w:szCs w:val="24"/>
          </w:rPr>
          <w:fldChar w:fldCharType="end"/>
        </w:r>
      </w:p>
    </w:sdtContent>
  </w:sdt>
  <w:p w14:paraId="1D60FB01" w14:textId="77777777" w:rsidR="00CF4E47" w:rsidRDefault="00CF4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D7983" w14:textId="77777777" w:rsidR="00A26DA4" w:rsidRDefault="00A26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0FDDE" w14:textId="77777777" w:rsidR="00A17CB7" w:rsidRDefault="00A17CB7">
      <w:pPr>
        <w:spacing w:after="0" w:line="240" w:lineRule="auto"/>
      </w:pPr>
      <w:r>
        <w:separator/>
      </w:r>
    </w:p>
  </w:footnote>
  <w:footnote w:type="continuationSeparator" w:id="0">
    <w:p w14:paraId="33B8CE83" w14:textId="77777777" w:rsidR="00A17CB7" w:rsidRDefault="00A1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DF76" w14:textId="77777777" w:rsidR="00A26DA4" w:rsidRDefault="00A26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B25" w14:textId="77777777" w:rsidR="00A26DA4" w:rsidRDefault="00A26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11B5" w14:textId="77777777" w:rsidR="00A26DA4" w:rsidRDefault="00A2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A9E"/>
    <w:multiLevelType w:val="multilevel"/>
    <w:tmpl w:val="8DD24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EC55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226FF4"/>
    <w:multiLevelType w:val="multilevel"/>
    <w:tmpl w:val="8A0EBE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AE4818"/>
    <w:multiLevelType w:val="multilevel"/>
    <w:tmpl w:val="F76EBB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43350A"/>
    <w:multiLevelType w:val="multilevel"/>
    <w:tmpl w:val="0F7A1DB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07"/>
    <w:rsid w:val="000209C1"/>
    <w:rsid w:val="00023817"/>
    <w:rsid w:val="0006009E"/>
    <w:rsid w:val="0006200B"/>
    <w:rsid w:val="00063A07"/>
    <w:rsid w:val="0006628C"/>
    <w:rsid w:val="0009149E"/>
    <w:rsid w:val="000A3B34"/>
    <w:rsid w:val="000A5DFB"/>
    <w:rsid w:val="000C3BE6"/>
    <w:rsid w:val="000D2A06"/>
    <w:rsid w:val="000D40E9"/>
    <w:rsid w:val="000E725B"/>
    <w:rsid w:val="000F50A6"/>
    <w:rsid w:val="00134EE6"/>
    <w:rsid w:val="00141F77"/>
    <w:rsid w:val="00142BC4"/>
    <w:rsid w:val="00152F22"/>
    <w:rsid w:val="001944C8"/>
    <w:rsid w:val="001A6011"/>
    <w:rsid w:val="001A7F34"/>
    <w:rsid w:val="001B2903"/>
    <w:rsid w:val="001C0072"/>
    <w:rsid w:val="001D0FF5"/>
    <w:rsid w:val="00201953"/>
    <w:rsid w:val="0021315D"/>
    <w:rsid w:val="0023782B"/>
    <w:rsid w:val="00237C07"/>
    <w:rsid w:val="00241166"/>
    <w:rsid w:val="00242A70"/>
    <w:rsid w:val="00252C9A"/>
    <w:rsid w:val="00256013"/>
    <w:rsid w:val="0027294E"/>
    <w:rsid w:val="002C3110"/>
    <w:rsid w:val="002D1E76"/>
    <w:rsid w:val="002D549E"/>
    <w:rsid w:val="002E2AAD"/>
    <w:rsid w:val="00301629"/>
    <w:rsid w:val="00317F9A"/>
    <w:rsid w:val="00321AED"/>
    <w:rsid w:val="00351138"/>
    <w:rsid w:val="003865C1"/>
    <w:rsid w:val="003869AB"/>
    <w:rsid w:val="00393DE4"/>
    <w:rsid w:val="003A21A6"/>
    <w:rsid w:val="003F33F9"/>
    <w:rsid w:val="00402489"/>
    <w:rsid w:val="004346D6"/>
    <w:rsid w:val="00434DF2"/>
    <w:rsid w:val="00464609"/>
    <w:rsid w:val="00472EA2"/>
    <w:rsid w:val="00473121"/>
    <w:rsid w:val="0047620C"/>
    <w:rsid w:val="00477DA4"/>
    <w:rsid w:val="004809FB"/>
    <w:rsid w:val="00493A80"/>
    <w:rsid w:val="004C0A48"/>
    <w:rsid w:val="004E3252"/>
    <w:rsid w:val="004E4573"/>
    <w:rsid w:val="004F73AC"/>
    <w:rsid w:val="00503F22"/>
    <w:rsid w:val="0052177F"/>
    <w:rsid w:val="0053029C"/>
    <w:rsid w:val="0054041B"/>
    <w:rsid w:val="00546130"/>
    <w:rsid w:val="00564DA7"/>
    <w:rsid w:val="00572C6D"/>
    <w:rsid w:val="005A3248"/>
    <w:rsid w:val="005B7A5D"/>
    <w:rsid w:val="005C1DDD"/>
    <w:rsid w:val="005D267F"/>
    <w:rsid w:val="0060157A"/>
    <w:rsid w:val="00611FF5"/>
    <w:rsid w:val="00655E89"/>
    <w:rsid w:val="006755EF"/>
    <w:rsid w:val="006A09C1"/>
    <w:rsid w:val="006A417F"/>
    <w:rsid w:val="006B1CD1"/>
    <w:rsid w:val="006D1942"/>
    <w:rsid w:val="00705376"/>
    <w:rsid w:val="007111CF"/>
    <w:rsid w:val="00735B1D"/>
    <w:rsid w:val="007918A9"/>
    <w:rsid w:val="00795DF4"/>
    <w:rsid w:val="007A2FBB"/>
    <w:rsid w:val="007A42F0"/>
    <w:rsid w:val="007E4BED"/>
    <w:rsid w:val="007E5DF1"/>
    <w:rsid w:val="007E68A7"/>
    <w:rsid w:val="007E7A0B"/>
    <w:rsid w:val="007F4907"/>
    <w:rsid w:val="00814E5E"/>
    <w:rsid w:val="00820455"/>
    <w:rsid w:val="00823016"/>
    <w:rsid w:val="008241C5"/>
    <w:rsid w:val="008353CA"/>
    <w:rsid w:val="0086496E"/>
    <w:rsid w:val="008664EE"/>
    <w:rsid w:val="008C73E3"/>
    <w:rsid w:val="008E6EED"/>
    <w:rsid w:val="008F6C71"/>
    <w:rsid w:val="009138FA"/>
    <w:rsid w:val="00922A28"/>
    <w:rsid w:val="00923DEC"/>
    <w:rsid w:val="009342CD"/>
    <w:rsid w:val="00936657"/>
    <w:rsid w:val="00943191"/>
    <w:rsid w:val="0099688C"/>
    <w:rsid w:val="009E77C0"/>
    <w:rsid w:val="00A17CB7"/>
    <w:rsid w:val="00A22BB7"/>
    <w:rsid w:val="00A26DA4"/>
    <w:rsid w:val="00A27154"/>
    <w:rsid w:val="00A40956"/>
    <w:rsid w:val="00A85A70"/>
    <w:rsid w:val="00AD2A03"/>
    <w:rsid w:val="00B04532"/>
    <w:rsid w:val="00B23ABA"/>
    <w:rsid w:val="00B27DEF"/>
    <w:rsid w:val="00B6001C"/>
    <w:rsid w:val="00B809C1"/>
    <w:rsid w:val="00BB15E9"/>
    <w:rsid w:val="00BB2781"/>
    <w:rsid w:val="00BC349B"/>
    <w:rsid w:val="00BE61C7"/>
    <w:rsid w:val="00C026B1"/>
    <w:rsid w:val="00C2311C"/>
    <w:rsid w:val="00C30277"/>
    <w:rsid w:val="00C4326E"/>
    <w:rsid w:val="00C43B17"/>
    <w:rsid w:val="00C44706"/>
    <w:rsid w:val="00C71155"/>
    <w:rsid w:val="00C71B77"/>
    <w:rsid w:val="00CF4E47"/>
    <w:rsid w:val="00D1021B"/>
    <w:rsid w:val="00D11298"/>
    <w:rsid w:val="00D1410B"/>
    <w:rsid w:val="00D243E0"/>
    <w:rsid w:val="00D75CB5"/>
    <w:rsid w:val="00D824DF"/>
    <w:rsid w:val="00D90436"/>
    <w:rsid w:val="00D908F3"/>
    <w:rsid w:val="00D944C0"/>
    <w:rsid w:val="00DA0A34"/>
    <w:rsid w:val="00DA4DE3"/>
    <w:rsid w:val="00DA6BB4"/>
    <w:rsid w:val="00DD2AE7"/>
    <w:rsid w:val="00DE036C"/>
    <w:rsid w:val="00DF696F"/>
    <w:rsid w:val="00E152E5"/>
    <w:rsid w:val="00E30043"/>
    <w:rsid w:val="00E31042"/>
    <w:rsid w:val="00E353A3"/>
    <w:rsid w:val="00E90DBD"/>
    <w:rsid w:val="00EA0DE7"/>
    <w:rsid w:val="00EB6B17"/>
    <w:rsid w:val="00ED085E"/>
    <w:rsid w:val="00ED08F8"/>
    <w:rsid w:val="00ED3A03"/>
    <w:rsid w:val="00EF7B74"/>
    <w:rsid w:val="00F1223F"/>
    <w:rsid w:val="00F24C09"/>
    <w:rsid w:val="00F33C5C"/>
    <w:rsid w:val="00F45F94"/>
    <w:rsid w:val="00F5445D"/>
    <w:rsid w:val="00F806BA"/>
    <w:rsid w:val="00FA4998"/>
    <w:rsid w:val="00FA5736"/>
    <w:rsid w:val="00FB3136"/>
    <w:rsid w:val="00FC40E6"/>
    <w:rsid w:val="00FE410E"/>
    <w:rsid w:val="00FE65F9"/>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BEB7"/>
  <w15:chartTrackingRefBased/>
  <w15:docId w15:val="{7F97180E-9BB5-4749-BA9B-1DB1DAF4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A07"/>
    <w:pPr>
      <w:spacing w:after="160" w:line="259" w:lineRule="auto"/>
    </w:pPr>
    <w:rPr>
      <w:sz w:val="22"/>
      <w:szCs w:val="22"/>
    </w:rPr>
  </w:style>
  <w:style w:type="paragraph" w:styleId="Heading2">
    <w:name w:val="heading 2"/>
    <w:basedOn w:val="Normal"/>
    <w:next w:val="Normal"/>
    <w:link w:val="Heading2Char"/>
    <w:uiPriority w:val="9"/>
    <w:unhideWhenUsed/>
    <w:qFormat/>
    <w:rsid w:val="00063A07"/>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063A07"/>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63A07"/>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063A07"/>
    <w:rPr>
      <w:rFonts w:ascii="Calibri Light" w:eastAsia="Times New Roman" w:hAnsi="Calibri Light" w:cs="Times New Roman"/>
      <w:color w:val="1F3763"/>
      <w:sz w:val="24"/>
      <w:szCs w:val="24"/>
    </w:rPr>
  </w:style>
  <w:style w:type="character" w:customStyle="1" w:styleId="hlfld-title2">
    <w:name w:val="hlfld-title2"/>
    <w:rsid w:val="00063A07"/>
  </w:style>
  <w:style w:type="paragraph" w:styleId="BalloonText">
    <w:name w:val="Balloon Text"/>
    <w:basedOn w:val="Normal"/>
    <w:link w:val="BalloonTextChar"/>
    <w:uiPriority w:val="99"/>
    <w:semiHidden/>
    <w:unhideWhenUsed/>
    <w:rsid w:val="00237C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7C07"/>
    <w:rPr>
      <w:rFonts w:ascii="Segoe UI" w:hAnsi="Segoe UI" w:cs="Segoe UI"/>
      <w:sz w:val="18"/>
      <w:szCs w:val="18"/>
    </w:rPr>
  </w:style>
  <w:style w:type="paragraph" w:customStyle="1" w:styleId="Default">
    <w:name w:val="Default"/>
    <w:rsid w:val="007918A9"/>
    <w:pPr>
      <w:autoSpaceDE w:val="0"/>
      <w:autoSpaceDN w:val="0"/>
      <w:adjustRightInd w:val="0"/>
    </w:pPr>
    <w:rPr>
      <w:rFonts w:ascii="Museo Slab 500" w:hAnsi="Museo Slab 500" w:cs="Museo Slab 500"/>
      <w:color w:val="000000"/>
      <w:sz w:val="24"/>
      <w:szCs w:val="24"/>
    </w:rPr>
  </w:style>
  <w:style w:type="character" w:styleId="Hyperlink">
    <w:name w:val="Hyperlink"/>
    <w:uiPriority w:val="99"/>
    <w:unhideWhenUsed/>
    <w:rsid w:val="007918A9"/>
    <w:rPr>
      <w:color w:val="0563C1"/>
      <w:u w:val="single"/>
    </w:rPr>
  </w:style>
  <w:style w:type="character" w:styleId="CommentReference">
    <w:name w:val="annotation reference"/>
    <w:uiPriority w:val="99"/>
    <w:semiHidden/>
    <w:unhideWhenUsed/>
    <w:rsid w:val="00BB2781"/>
    <w:rPr>
      <w:sz w:val="16"/>
      <w:szCs w:val="16"/>
    </w:rPr>
  </w:style>
  <w:style w:type="paragraph" w:styleId="CommentText">
    <w:name w:val="annotation text"/>
    <w:basedOn w:val="Normal"/>
    <w:link w:val="CommentTextChar"/>
    <w:uiPriority w:val="99"/>
    <w:semiHidden/>
    <w:unhideWhenUsed/>
    <w:rsid w:val="00BB2781"/>
    <w:rPr>
      <w:sz w:val="20"/>
      <w:szCs w:val="20"/>
    </w:rPr>
  </w:style>
  <w:style w:type="character" w:customStyle="1" w:styleId="CommentTextChar">
    <w:name w:val="Comment Text Char"/>
    <w:basedOn w:val="DefaultParagraphFont"/>
    <w:link w:val="CommentText"/>
    <w:uiPriority w:val="99"/>
    <w:semiHidden/>
    <w:rsid w:val="00BB2781"/>
  </w:style>
  <w:style w:type="paragraph" w:styleId="CommentSubject">
    <w:name w:val="annotation subject"/>
    <w:basedOn w:val="CommentText"/>
    <w:next w:val="CommentText"/>
    <w:link w:val="CommentSubjectChar"/>
    <w:uiPriority w:val="99"/>
    <w:semiHidden/>
    <w:unhideWhenUsed/>
    <w:rsid w:val="00BB2781"/>
    <w:rPr>
      <w:b/>
      <w:bCs/>
    </w:rPr>
  </w:style>
  <w:style w:type="character" w:customStyle="1" w:styleId="CommentSubjectChar">
    <w:name w:val="Comment Subject Char"/>
    <w:link w:val="CommentSubject"/>
    <w:uiPriority w:val="99"/>
    <w:semiHidden/>
    <w:rsid w:val="00BB2781"/>
    <w:rPr>
      <w:b/>
      <w:bCs/>
    </w:rPr>
  </w:style>
  <w:style w:type="table" w:styleId="TableGrid">
    <w:name w:val="Table Grid"/>
    <w:basedOn w:val="TableNormal"/>
    <w:uiPriority w:val="39"/>
    <w:rsid w:val="0053029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E47"/>
    <w:rPr>
      <w:sz w:val="22"/>
      <w:szCs w:val="22"/>
    </w:rPr>
  </w:style>
  <w:style w:type="paragraph" w:styleId="Footer">
    <w:name w:val="footer"/>
    <w:basedOn w:val="Normal"/>
    <w:link w:val="FooterChar"/>
    <w:uiPriority w:val="99"/>
    <w:unhideWhenUsed/>
    <w:rsid w:val="00CF4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E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87753">
      <w:bodyDiv w:val="1"/>
      <w:marLeft w:val="0"/>
      <w:marRight w:val="0"/>
      <w:marTop w:val="0"/>
      <w:marBottom w:val="0"/>
      <w:divBdr>
        <w:top w:val="none" w:sz="0" w:space="0" w:color="auto"/>
        <w:left w:val="none" w:sz="0" w:space="0" w:color="auto"/>
        <w:bottom w:val="none" w:sz="0" w:space="0" w:color="auto"/>
        <w:right w:val="none" w:sz="0" w:space="0" w:color="auto"/>
      </w:divBdr>
    </w:div>
    <w:div w:id="16319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epa.gov/sites/production/files/2016-05/documents/pfoa_hesd_final-plain.pdf"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pa.gov/ghgemissions/inventory-us-greenhouse-gas-emissions-and-sink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https://yosemite.epa.gov/sab/sabproduct.nsf/0/0CA9E925C9A702F285257F380050C842/$File/VSL%20white%20paper_final_0205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stle-watersna.com/sites/g/files/pydnoa606/files/asset-library/documents/nwna_lca_report_020410.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lca-net.com/publications/show/refining-pedigree-matrix-approach-ecoinvent/" TargetMode="External"/><Relationship Id="rId28" Type="http://schemas.openxmlformats.org/officeDocument/2006/relationships/hyperlink" Target="https://www.epa.gov/sites/production/files/2016-05/documents/pfos_health_advisory_final_508.pdf"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olorado.gov/pacific/sites/default/files/WQ_PFC_Environmental-data-table.pdf" TargetMode="External"/><Relationship Id="rId27" Type="http://schemas.openxmlformats.org/officeDocument/2006/relationships/hyperlink" Target="https://www.epa.gov/sites/production/files/2016-05/documents/pfoa_health_advisory_final_508.pdf" TargetMode="External"/><Relationship Id="rId30" Type="http://schemas.openxmlformats.org/officeDocument/2006/relationships/hyperlink" Target="https://www.epa.gov/sites/production/files/2015-03/documents/planning_for_an_emergency_drinking_water_supply.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saac\Dropbox\PROJECTS\AFIT%20ORISE\Remediation%20LCA\Manuscript\Tables%20draft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54454831077153"/>
          <c:y val="3.9257673090649536E-2"/>
          <c:w val="0.67329945825737292"/>
          <c:h val="0.79129755461509488"/>
        </c:manualLayout>
      </c:layout>
      <c:barChart>
        <c:barDir val="col"/>
        <c:grouping val="clustered"/>
        <c:varyColors val="0"/>
        <c:ser>
          <c:idx val="1"/>
          <c:order val="0"/>
          <c:tx>
            <c:strRef>
              <c:f>'\Users\isaac\Dropbox\PROJECTS\AFIT ORISE\Remediation LCA\Stochastic Results\2-27-17\[WPAFB_2-27-17v3.xlsx]Summary'!$B$164</c:f>
              <c:strCache>
                <c:ptCount val="1"/>
                <c:pt idx="0">
                  <c:v>97.5%ile</c:v>
                </c:pt>
              </c:strCache>
            </c:strRef>
          </c:tx>
          <c:spPr>
            <a:solidFill>
              <a:schemeClr val="bg1">
                <a:lumMod val="50000"/>
              </a:schemeClr>
            </a:solidFill>
            <a:ln>
              <a:noFill/>
            </a:ln>
            <a:effectLst/>
          </c:spPr>
          <c:invertIfNegative val="0"/>
          <c:cat>
            <c:strRef>
              <c:f>Scenarios!$C$67:$L$67</c:f>
              <c:strCache>
                <c:ptCount val="10"/>
                <c:pt idx="0">
                  <c:v>GAC</c:v>
                </c:pt>
                <c:pt idx="1">
                  <c:v>IEX</c:v>
                </c:pt>
                <c:pt idx="2">
                  <c:v>GAC7</c:v>
                </c:pt>
                <c:pt idx="3">
                  <c:v>IEX7</c:v>
                </c:pt>
                <c:pt idx="4">
                  <c:v>GAC70</c:v>
                </c:pt>
                <c:pt idx="5">
                  <c:v>IEX70</c:v>
                </c:pt>
                <c:pt idx="6">
                  <c:v>Brand 1 SR</c:v>
                </c:pt>
                <c:pt idx="7">
                  <c:v>Brand 2 SR</c:v>
                </c:pt>
                <c:pt idx="8">
                  <c:v>Brand 1 RSN</c:v>
                </c:pt>
                <c:pt idx="9">
                  <c:v>Brand 2 RSN</c:v>
                </c:pt>
              </c:strCache>
            </c:strRef>
          </c:cat>
          <c:val>
            <c:numRef>
              <c:f>Scenarios!$C$71:$L$71</c:f>
              <c:numCache>
                <c:formatCode>"$"#,##0_);[Red]\("$"#,##0\)</c:formatCode>
                <c:ptCount val="10"/>
                <c:pt idx="0">
                  <c:v>9266773.9757896829</c:v>
                </c:pt>
                <c:pt idx="1">
                  <c:v>9724918.8020159714</c:v>
                </c:pt>
                <c:pt idx="2">
                  <c:v>9676885.542825548</c:v>
                </c:pt>
                <c:pt idx="3">
                  <c:v>10052464.658596866</c:v>
                </c:pt>
                <c:pt idx="4">
                  <c:v>16366243.433722783</c:v>
                </c:pt>
                <c:pt idx="5">
                  <c:v>16429255.162269333</c:v>
                </c:pt>
                <c:pt idx="6">
                  <c:v>134383.01153871935</c:v>
                </c:pt>
                <c:pt idx="7">
                  <c:v>154293.36197369095</c:v>
                </c:pt>
                <c:pt idx="8">
                  <c:v>3795117.6125721075</c:v>
                </c:pt>
                <c:pt idx="9">
                  <c:v>4200448.6701516258</c:v>
                </c:pt>
              </c:numCache>
            </c:numRef>
          </c:val>
          <c:extLst>
            <c:ext xmlns:c16="http://schemas.microsoft.com/office/drawing/2014/chart" uri="{C3380CC4-5D6E-409C-BE32-E72D297353CC}">
              <c16:uniqueId val="{00000000-921E-4955-A899-6E7919E115EC}"/>
            </c:ext>
          </c:extLst>
        </c:ser>
        <c:ser>
          <c:idx val="0"/>
          <c:order val="1"/>
          <c:tx>
            <c:strRef>
              <c:f>Scenarios!$B$9</c:f>
              <c:strCache>
                <c:ptCount val="1"/>
                <c:pt idx="0">
                  <c:v>2.5%ile</c:v>
                </c:pt>
              </c:strCache>
            </c:strRef>
          </c:tx>
          <c:spPr>
            <a:solidFill>
              <a:schemeClr val="bg1"/>
            </a:solidFill>
            <a:ln w="12700">
              <a:solidFill>
                <a:schemeClr val="bg1"/>
              </a:solidFill>
            </a:ln>
            <a:effectLst/>
          </c:spPr>
          <c:invertIfNegative val="0"/>
          <c:cat>
            <c:strRef>
              <c:f>Scenarios!$C$67:$L$67</c:f>
              <c:strCache>
                <c:ptCount val="10"/>
                <c:pt idx="0">
                  <c:v>GAC</c:v>
                </c:pt>
                <c:pt idx="1">
                  <c:v>IEX</c:v>
                </c:pt>
                <c:pt idx="2">
                  <c:v>GAC7</c:v>
                </c:pt>
                <c:pt idx="3">
                  <c:v>IEX7</c:v>
                </c:pt>
                <c:pt idx="4">
                  <c:v>GAC70</c:v>
                </c:pt>
                <c:pt idx="5">
                  <c:v>IEX70</c:v>
                </c:pt>
                <c:pt idx="6">
                  <c:v>Brand 1 SR</c:v>
                </c:pt>
                <c:pt idx="7">
                  <c:v>Brand 2 SR</c:v>
                </c:pt>
                <c:pt idx="8">
                  <c:v>Brand 1 RSN</c:v>
                </c:pt>
                <c:pt idx="9">
                  <c:v>Brand 2 RSN</c:v>
                </c:pt>
              </c:strCache>
            </c:strRef>
          </c:cat>
          <c:val>
            <c:numRef>
              <c:f>Scenarios!$C$70:$L$70</c:f>
              <c:numCache>
                <c:formatCode>"$"#,##0_);[Red]\("$"#,##0\)</c:formatCode>
                <c:ptCount val="10"/>
                <c:pt idx="0">
                  <c:v>566428.21486287855</c:v>
                </c:pt>
                <c:pt idx="1">
                  <c:v>602465.2502150709</c:v>
                </c:pt>
                <c:pt idx="2">
                  <c:v>723143.02578036231</c:v>
                </c:pt>
                <c:pt idx="3">
                  <c:v>722995.00278187916</c:v>
                </c:pt>
                <c:pt idx="4">
                  <c:v>1490096.4554424076</c:v>
                </c:pt>
                <c:pt idx="5">
                  <c:v>1230800.7320026029</c:v>
                </c:pt>
                <c:pt idx="6">
                  <c:v>25512.616695902834</c:v>
                </c:pt>
                <c:pt idx="7">
                  <c:v>36717.455922918503</c:v>
                </c:pt>
                <c:pt idx="8">
                  <c:v>778558.98362705647</c:v>
                </c:pt>
                <c:pt idx="9">
                  <c:v>1081361.1813744206</c:v>
                </c:pt>
              </c:numCache>
            </c:numRef>
          </c:val>
          <c:extLst>
            <c:ext xmlns:c16="http://schemas.microsoft.com/office/drawing/2014/chart" uri="{C3380CC4-5D6E-409C-BE32-E72D297353CC}">
              <c16:uniqueId val="{00000001-921E-4955-A899-6E7919E115EC}"/>
            </c:ext>
          </c:extLst>
        </c:ser>
        <c:dLbls>
          <c:showLegendKey val="0"/>
          <c:showVal val="0"/>
          <c:showCatName val="0"/>
          <c:showSerName val="0"/>
          <c:showPercent val="0"/>
          <c:showBubbleSize val="0"/>
        </c:dLbls>
        <c:gapWidth val="50"/>
        <c:overlap val="100"/>
        <c:axId val="336914528"/>
        <c:axId val="345830624"/>
      </c:barChart>
      <c:scatterChart>
        <c:scatterStyle val="lineMarker"/>
        <c:varyColors val="0"/>
        <c:ser>
          <c:idx val="2"/>
          <c:order val="2"/>
          <c:tx>
            <c:strRef>
              <c:f>Scenarios!$B$7</c:f>
              <c:strCache>
                <c:ptCount val="1"/>
                <c:pt idx="0">
                  <c:v>Mean</c:v>
                </c:pt>
              </c:strCache>
            </c:strRef>
          </c:tx>
          <c:spPr>
            <a:ln w="25400" cap="rnd">
              <a:noFill/>
              <a:round/>
            </a:ln>
            <a:effectLst/>
          </c:spPr>
          <c:marker>
            <c:symbol val="circle"/>
            <c:size val="5"/>
            <c:spPr>
              <a:solidFill>
                <a:schemeClr val="bg1"/>
              </a:solidFill>
              <a:ln w="9525">
                <a:solidFill>
                  <a:schemeClr val="tx1"/>
                </a:solidFill>
              </a:ln>
              <a:effectLst/>
            </c:spPr>
          </c:marker>
          <c:yVal>
            <c:numRef>
              <c:f>Scenarios!$C$68:$L$68</c:f>
              <c:numCache>
                <c:formatCode>"$"#,##0_);[Red]\("$"#,##0\)</c:formatCode>
                <c:ptCount val="10"/>
                <c:pt idx="0">
                  <c:v>2143296.7774302834</c:v>
                </c:pt>
                <c:pt idx="1">
                  <c:v>2372322.0814335169</c:v>
                </c:pt>
                <c:pt idx="2">
                  <c:v>2442078.6282838569</c:v>
                </c:pt>
                <c:pt idx="3">
                  <c:v>2619530.6214321372</c:v>
                </c:pt>
                <c:pt idx="4">
                  <c:v>5429540.780175508</c:v>
                </c:pt>
                <c:pt idx="5">
                  <c:v>5091809.2918929011</c:v>
                </c:pt>
                <c:pt idx="6">
                  <c:v>52619.424674762711</c:v>
                </c:pt>
                <c:pt idx="7">
                  <c:v>69196.200081345611</c:v>
                </c:pt>
                <c:pt idx="8">
                  <c:v>1564863.2145184712</c:v>
                </c:pt>
                <c:pt idx="9">
                  <c:v>1963178.4105312463</c:v>
                </c:pt>
              </c:numCache>
            </c:numRef>
          </c:yVal>
          <c:smooth val="0"/>
          <c:extLst>
            <c:ext xmlns:c16="http://schemas.microsoft.com/office/drawing/2014/chart" uri="{C3380CC4-5D6E-409C-BE32-E72D297353CC}">
              <c16:uniqueId val="{00000002-921E-4955-A899-6E7919E115EC}"/>
            </c:ext>
          </c:extLst>
        </c:ser>
        <c:ser>
          <c:idx val="3"/>
          <c:order val="3"/>
          <c:tx>
            <c:strRef>
              <c:f>Scenarios!$B$8</c:f>
              <c:strCache>
                <c:ptCount val="1"/>
                <c:pt idx="0">
                  <c:v>Median</c:v>
                </c:pt>
              </c:strCache>
            </c:strRef>
          </c:tx>
          <c:spPr>
            <a:ln w="25400" cap="rnd">
              <a:noFill/>
              <a:round/>
            </a:ln>
            <a:effectLst/>
          </c:spPr>
          <c:marker>
            <c:symbol val="dash"/>
            <c:size val="9"/>
            <c:spPr>
              <a:solidFill>
                <a:schemeClr val="bg1"/>
              </a:solidFill>
              <a:ln w="6350">
                <a:solidFill>
                  <a:schemeClr val="tx1"/>
                </a:solidFill>
              </a:ln>
              <a:effectLst/>
            </c:spPr>
          </c:marker>
          <c:xVal>
            <c:strRef>
              <c:f>Scenarios!$C$6:$L$6</c:f>
              <c:strCache>
                <c:ptCount val="10"/>
                <c:pt idx="0">
                  <c:v>GAC</c:v>
                </c:pt>
                <c:pt idx="1">
                  <c:v>IEX</c:v>
                </c:pt>
                <c:pt idx="2">
                  <c:v>GAC7</c:v>
                </c:pt>
                <c:pt idx="3">
                  <c:v>IEX7</c:v>
                </c:pt>
                <c:pt idx="4">
                  <c:v>GAC70</c:v>
                </c:pt>
                <c:pt idx="5">
                  <c:v>IEX70</c:v>
                </c:pt>
                <c:pt idx="6">
                  <c:v>Brand 1 SR</c:v>
                </c:pt>
                <c:pt idx="7">
                  <c:v>Brand 2 SR</c:v>
                </c:pt>
                <c:pt idx="8">
                  <c:v>Brand 1 RSN</c:v>
                </c:pt>
                <c:pt idx="9">
                  <c:v>Brand 2 RSN</c:v>
                </c:pt>
              </c:strCache>
            </c:strRef>
          </c:xVal>
          <c:yVal>
            <c:numRef>
              <c:f>Scenarios!$C$69:$L$69</c:f>
              <c:numCache>
                <c:formatCode>"$"#,##0_);[Red]\("$"#,##0\)</c:formatCode>
                <c:ptCount val="10"/>
                <c:pt idx="0">
                  <c:v>1242063.7935620542</c:v>
                </c:pt>
                <c:pt idx="1">
                  <c:v>1400386.6183512085</c:v>
                </c:pt>
                <c:pt idx="2">
                  <c:v>1538742.9316624547</c:v>
                </c:pt>
                <c:pt idx="3">
                  <c:v>1646406.5585695577</c:v>
                </c:pt>
                <c:pt idx="4">
                  <c:v>4245628.9833272146</c:v>
                </c:pt>
                <c:pt idx="5">
                  <c:v>3739872.0196360885</c:v>
                </c:pt>
                <c:pt idx="6">
                  <c:v>42438.782877629616</c:v>
                </c:pt>
                <c:pt idx="7">
                  <c:v>59073.026544202621</c:v>
                </c:pt>
                <c:pt idx="8">
                  <c:v>1299074.2587326651</c:v>
                </c:pt>
                <c:pt idx="9">
                  <c:v>1729998.4948513084</c:v>
                </c:pt>
              </c:numCache>
            </c:numRef>
          </c:yVal>
          <c:smooth val="0"/>
          <c:extLst>
            <c:ext xmlns:c16="http://schemas.microsoft.com/office/drawing/2014/chart" uri="{C3380CC4-5D6E-409C-BE32-E72D297353CC}">
              <c16:uniqueId val="{00000003-921E-4955-A899-6E7919E115EC}"/>
            </c:ext>
          </c:extLst>
        </c:ser>
        <c:dLbls>
          <c:showLegendKey val="0"/>
          <c:showVal val="0"/>
          <c:showCatName val="0"/>
          <c:showSerName val="0"/>
          <c:showPercent val="0"/>
          <c:showBubbleSize val="0"/>
        </c:dLbls>
        <c:axId val="336914528"/>
        <c:axId val="345830624"/>
      </c:scatterChart>
      <c:catAx>
        <c:axId val="33691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45830624"/>
        <c:crossesAt val="0.1"/>
        <c:auto val="1"/>
        <c:lblAlgn val="ctr"/>
        <c:lblOffset val="100"/>
        <c:noMultiLvlLbl val="0"/>
      </c:catAx>
      <c:valAx>
        <c:axId val="345830624"/>
        <c:scaling>
          <c:orientation val="minMax"/>
          <c:max val="16500000.00000000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VDALY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691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E08CCE2180E439288B14A9EB3BAB2" ma:contentTypeVersion="12" ma:contentTypeDescription="Create a new document." ma:contentTypeScope="" ma:versionID="70d35ac3220ece68ae0722476bf8b924">
  <xsd:schema xmlns:xsd="http://www.w3.org/2001/XMLSchema" xmlns:xs="http://www.w3.org/2001/XMLSchema" xmlns:p="http://schemas.microsoft.com/office/2006/metadata/properties" xmlns:ns3="70e373cc-e81d-45f2-bbb4-5e183f21fb71" xmlns:ns4="ca4597ec-ced5-46be-8847-d0e732bbf7ea" targetNamespace="http://schemas.microsoft.com/office/2006/metadata/properties" ma:root="true" ma:fieldsID="fd5d12f682ff400082993c1121c24e6b" ns3:_="" ns4:_="">
    <xsd:import namespace="70e373cc-e81d-45f2-bbb4-5e183f21fb71"/>
    <xsd:import namespace="ca4597ec-ced5-46be-8847-d0e732bbf7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373cc-e81d-45f2-bbb4-5e183f21f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597ec-ced5-46be-8847-d0e732bbf7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0B4C9-9B71-460A-8651-E06FF80D2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373cc-e81d-45f2-bbb4-5e183f21fb71"/>
    <ds:schemaRef ds:uri="ca4597ec-ced5-46be-8847-d0e732bb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871F1-8996-437E-A436-40C64C45F025}">
  <ds:schemaRefs>
    <ds:schemaRef ds:uri="http://schemas.openxmlformats.org/officeDocument/2006/bibliography"/>
  </ds:schemaRefs>
</ds:datastoreItem>
</file>

<file path=customXml/itemProps3.xml><?xml version="1.0" encoding="utf-8"?>
<ds:datastoreItem xmlns:ds="http://schemas.openxmlformats.org/officeDocument/2006/customXml" ds:itemID="{0D002E04-5F61-4800-B4DE-D8A1A2AE55C6}">
  <ds:schemaRefs>
    <ds:schemaRef ds:uri="http://schemas.microsoft.com/sharepoint/v3/contenttype/forms"/>
  </ds:schemaRefs>
</ds:datastoreItem>
</file>

<file path=customXml/itemProps4.xml><?xml version="1.0" encoding="utf-8"?>
<ds:datastoreItem xmlns:ds="http://schemas.openxmlformats.org/officeDocument/2006/customXml" ds:itemID="{89B8CD00-0D29-45EF-9A76-27C51AF9C6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7427</Words>
  <Characters>42339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49667</CharactersWithSpaces>
  <SharedDoc>false</SharedDoc>
  <HLinks>
    <vt:vector size="6" baseType="variant">
      <vt:variant>
        <vt:i4>1835092</vt:i4>
      </vt:variant>
      <vt:variant>
        <vt:i4>0</vt:i4>
      </vt:variant>
      <vt:variant>
        <vt:i4>0</vt:i4>
      </vt:variant>
      <vt:variant>
        <vt:i4>5</vt:i4>
      </vt:variant>
      <vt:variant>
        <vt:lpwstr>https://www.colorado.gov/pacific/sites/default/files/WQ_PFC_Environmental-data-table.pdf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Emery</dc:creator>
  <cp:keywords/>
  <dc:description/>
  <cp:lastModifiedBy>LeeAnn Racz</cp:lastModifiedBy>
  <cp:revision>28</cp:revision>
  <dcterms:created xsi:type="dcterms:W3CDTF">2020-09-08T17:04:00Z</dcterms:created>
  <dcterms:modified xsi:type="dcterms:W3CDTF">2020-12-16T19:45:00Z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0x010100D91E08CCE2180E439288B14A9EB3BAB2</vt:lpwstr>
  </property>
</Properties>
</file>