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7A5" w:rsidRPr="00712C80" w:rsidRDefault="006810A6" w:rsidP="006810A6">
      <w:pPr>
        <w:jc w:val="center"/>
        <w:rPr>
          <w:b/>
        </w:rPr>
      </w:pPr>
      <w:r w:rsidRPr="00712C80">
        <w:rPr>
          <w:b/>
        </w:rPr>
        <w:t>Ch 12 Electricity Regulation Homework</w:t>
      </w:r>
    </w:p>
    <w:p w:rsidR="00BC1526" w:rsidRDefault="00BC1526" w:rsidP="00BC1526">
      <w:pPr>
        <w:pStyle w:val="ListParagraph"/>
        <w:numPr>
          <w:ilvl w:val="0"/>
          <w:numId w:val="1"/>
        </w:numPr>
        <w:contextualSpacing w:val="0"/>
      </w:pPr>
      <w:r>
        <w:t>Explain why economists advocate that regulators use marginal-cost and not average-cost pricing. Also explain why regulators favor average cost pricing.</w:t>
      </w:r>
    </w:p>
    <w:p w:rsidR="005960D9" w:rsidRDefault="00BC1526" w:rsidP="00BC1526">
      <w:pPr>
        <w:pStyle w:val="ListParagraph"/>
        <w:numPr>
          <w:ilvl w:val="0"/>
          <w:numId w:val="1"/>
        </w:numPr>
        <w:contextualSpacing w:val="0"/>
      </w:pPr>
      <w:r>
        <w:t xml:space="preserve">Describe an advantage and a disadvantage of the 1978 PURPA legislation that required electric utilities to purchase </w:t>
      </w:r>
      <w:r w:rsidR="005960D9">
        <w:t>electricity from qualifying facilities at avoided cost.</w:t>
      </w:r>
    </w:p>
    <w:p w:rsidR="005960D9" w:rsidRDefault="005960D9" w:rsidP="00BC1526">
      <w:pPr>
        <w:pStyle w:val="ListParagraph"/>
        <w:numPr>
          <w:ilvl w:val="0"/>
          <w:numId w:val="1"/>
        </w:numPr>
        <w:contextualSpacing w:val="0"/>
      </w:pPr>
      <w:r>
        <w:t>What is the trend in electricity demand growth in the U.S. and the underlying industrial, commercial, and residential demands?</w:t>
      </w:r>
    </w:p>
    <w:p w:rsidR="005960D9" w:rsidRDefault="005960D9" w:rsidP="00BC1526">
      <w:pPr>
        <w:pStyle w:val="ListParagraph"/>
        <w:numPr>
          <w:ilvl w:val="0"/>
          <w:numId w:val="1"/>
        </w:numPr>
        <w:contextualSpacing w:val="0"/>
      </w:pPr>
      <w:r>
        <w:t xml:space="preserve">Provide the formula for how a Public Utility Commission determines the rate-of-return. Then relate it to the </w:t>
      </w:r>
      <w:proofErr w:type="spellStart"/>
      <w:r>
        <w:t>Averch</w:t>
      </w:r>
      <w:proofErr w:type="spellEnd"/>
      <w:r>
        <w:t>-Johnson Effect.</w:t>
      </w:r>
    </w:p>
    <w:p w:rsidR="005960D9" w:rsidRDefault="003F1FCD" w:rsidP="00BC1526">
      <w:pPr>
        <w:pStyle w:val="ListParagraph"/>
        <w:numPr>
          <w:ilvl w:val="0"/>
          <w:numId w:val="1"/>
        </w:numPr>
        <w:contextualSpacing w:val="0"/>
      </w:pPr>
      <w:r>
        <w:t>I</w:t>
      </w:r>
      <w:r w:rsidR="005960D9">
        <w:t>f an economist were asked how to allocate the costs of a utility company headquarters among residential, commercial, and industrial customers, how do you think the economist would respond? How would an accountant respond?</w:t>
      </w:r>
    </w:p>
    <w:p w:rsidR="005960D9" w:rsidRDefault="005960D9" w:rsidP="00BC1526">
      <w:pPr>
        <w:pStyle w:val="ListParagraph"/>
        <w:numPr>
          <w:ilvl w:val="0"/>
          <w:numId w:val="1"/>
        </w:numPr>
        <w:contextualSpacing w:val="0"/>
      </w:pPr>
      <w:r>
        <w:t>What is a strength and weakness of using construction-work-in progress (CWIP) to finance new nuclear construction?</w:t>
      </w:r>
    </w:p>
    <w:p w:rsidR="001633AC" w:rsidRDefault="005960D9" w:rsidP="00BC1526">
      <w:pPr>
        <w:pStyle w:val="ListParagraph"/>
        <w:numPr>
          <w:ilvl w:val="0"/>
          <w:numId w:val="1"/>
        </w:numPr>
        <w:contextualSpacing w:val="0"/>
      </w:pPr>
      <w:r>
        <w:t xml:space="preserve">Suppose a utility </w:t>
      </w:r>
      <w:r w:rsidR="001633AC">
        <w:t>uses 60% common stock and 40% long-term bonds to finance its expenditures. The target return to stockholders is 10% and the interest rate on the bonds is 5%. What is the minimum rate-of-return that will allow the utility to pay its stock- and bond-holders the anticipate</w:t>
      </w:r>
      <w:r w:rsidR="003F1FCD">
        <w:t>d</w:t>
      </w:r>
      <w:r w:rsidR="001633AC">
        <w:t xml:space="preserve"> returns? </w:t>
      </w:r>
    </w:p>
    <w:p w:rsidR="001633AC" w:rsidRDefault="004E7341" w:rsidP="00BC1526">
      <w:pPr>
        <w:pStyle w:val="ListParagraph"/>
        <w:numPr>
          <w:ilvl w:val="0"/>
          <w:numId w:val="1"/>
        </w:numPr>
        <w:contextualSpacing w:val="0"/>
      </w:pPr>
      <w:bookmarkStart w:id="0" w:name="_Hlk101953126"/>
      <w:r>
        <w:t>C</w:t>
      </w:r>
      <w:r w:rsidR="001633AC">
        <w:t>onsumer</w:t>
      </w:r>
      <w:r>
        <w:t>s</w:t>
      </w:r>
      <w:r w:rsidR="001633AC">
        <w:t xml:space="preserve"> pay a fixed customer charge of $10 per month, and an energy charge of $0.15 for the 1</w:t>
      </w:r>
      <w:r w:rsidR="001633AC" w:rsidRPr="001633AC">
        <w:rPr>
          <w:vertAlign w:val="superscript"/>
        </w:rPr>
        <w:t>st</w:t>
      </w:r>
      <w:r w:rsidR="001633AC">
        <w:t xml:space="preserve"> 100 kWh, $0.10 for the next 500 kWh, and $0.07/kWh beyond 600 </w:t>
      </w:r>
      <w:proofErr w:type="spellStart"/>
      <w:r w:rsidR="001633AC">
        <w:t>kWhs</w:t>
      </w:r>
      <w:proofErr w:type="spellEnd"/>
      <w:r w:rsidR="001633AC">
        <w:t xml:space="preserve">. What is the customer’s monthly bill if </w:t>
      </w:r>
      <w:r>
        <w:t>they</w:t>
      </w:r>
      <w:r>
        <w:t xml:space="preserve"> </w:t>
      </w:r>
      <w:r w:rsidR="001633AC">
        <w:t xml:space="preserve">use 1000 </w:t>
      </w:r>
      <w:proofErr w:type="spellStart"/>
      <w:r w:rsidR="001633AC">
        <w:t>kWhs</w:t>
      </w:r>
      <w:proofErr w:type="spellEnd"/>
      <w:r w:rsidR="001633AC">
        <w:t>? What is the justification for including both a fixed component and a variable component in the bill?</w:t>
      </w:r>
    </w:p>
    <w:bookmarkEnd w:id="0"/>
    <w:p w:rsidR="00D37461" w:rsidRDefault="00D37461" w:rsidP="00BC1526">
      <w:pPr>
        <w:pStyle w:val="ListParagraph"/>
        <w:numPr>
          <w:ilvl w:val="0"/>
          <w:numId w:val="1"/>
        </w:numPr>
        <w:contextualSpacing w:val="0"/>
      </w:pPr>
      <w:r>
        <w:t>Draw a graph that shows the social welfare loss from a flat rate as compared to using a peak and off-peak rate.</w:t>
      </w:r>
    </w:p>
    <w:p w:rsidR="00D37461" w:rsidRDefault="00D37461" w:rsidP="00BC1526">
      <w:pPr>
        <w:pStyle w:val="ListParagraph"/>
        <w:numPr>
          <w:ilvl w:val="0"/>
          <w:numId w:val="1"/>
        </w:numPr>
        <w:contextualSpacing w:val="0"/>
      </w:pPr>
      <w:r>
        <w:t xml:space="preserve">Why is </w:t>
      </w:r>
      <w:r w:rsidR="00A16F59">
        <w:t xml:space="preserve">it </w:t>
      </w:r>
      <w:r>
        <w:t xml:space="preserve">a challenge </w:t>
      </w:r>
      <w:r w:rsidR="002C48B7">
        <w:t>for</w:t>
      </w:r>
      <w:r>
        <w:t xml:space="preserve"> utilities to promote energy efficiency? How might decoupling reduce the challenge?</w:t>
      </w:r>
    </w:p>
    <w:p w:rsidR="00E24C69" w:rsidRPr="006349C0" w:rsidRDefault="00E24C69" w:rsidP="00E24C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 w:rsidRPr="006349C0">
        <w:rPr>
          <w:color w:val="000000"/>
        </w:rPr>
        <w:t xml:space="preserve">Assume that CAPM is used to determine the equity risk premium. What is risk-free rate? What is </w:t>
      </w:r>
      <w:r w:rsidRPr="006349C0">
        <w:rPr>
          <w:rFonts w:eastAsiaTheme="minorEastAsia" w:cs="Times New Roman"/>
          <w:szCs w:val="24"/>
          <w:lang w:val="el-GR"/>
        </w:rPr>
        <w:t>β</w:t>
      </w:r>
      <w:r w:rsidRPr="006349C0">
        <w:rPr>
          <w:rFonts w:eastAsiaTheme="minorEastAsia" w:cs="Times New Roman"/>
          <w:szCs w:val="24"/>
        </w:rPr>
        <w:t xml:space="preserve"> (beta)? Calculate the risk-adjusted discount rate if </w:t>
      </w:r>
      <w:r w:rsidRPr="006349C0">
        <w:rPr>
          <w:rFonts w:eastAsiaTheme="minorEastAsia" w:cs="Times New Roman"/>
          <w:szCs w:val="24"/>
          <w:lang w:val="el-GR"/>
        </w:rPr>
        <w:t>β</w:t>
      </w:r>
      <w:r w:rsidRPr="006349C0">
        <w:rPr>
          <w:rFonts w:eastAsiaTheme="minorEastAsia" w:cs="Times New Roman"/>
          <w:szCs w:val="24"/>
        </w:rPr>
        <w:t xml:space="preserve"> is 0.8, R</w:t>
      </w:r>
      <w:r w:rsidRPr="006349C0">
        <w:rPr>
          <w:rFonts w:eastAsiaTheme="minorEastAsia" w:cs="Times New Roman"/>
          <w:szCs w:val="24"/>
          <w:vertAlign w:val="subscript"/>
        </w:rPr>
        <w:t xml:space="preserve">f </w:t>
      </w:r>
      <w:r w:rsidRPr="006349C0">
        <w:rPr>
          <w:rFonts w:eastAsiaTheme="minorEastAsia" w:cs="Times New Roman"/>
          <w:szCs w:val="24"/>
        </w:rPr>
        <w:t>is 2% and R</w:t>
      </w:r>
      <w:r w:rsidRPr="006349C0">
        <w:rPr>
          <w:rFonts w:eastAsiaTheme="minorEastAsia" w:cs="Times New Roman"/>
          <w:szCs w:val="24"/>
          <w:vertAlign w:val="subscript"/>
        </w:rPr>
        <w:t>m</w:t>
      </w:r>
      <w:r w:rsidRPr="006349C0">
        <w:rPr>
          <w:rFonts w:eastAsiaTheme="minorEastAsia" w:cs="Times New Roman"/>
          <w:szCs w:val="24"/>
        </w:rPr>
        <w:t xml:space="preserve"> is 4%. </w:t>
      </w:r>
    </w:p>
    <w:p w:rsidR="006349C0" w:rsidRDefault="004D566B" w:rsidP="004D5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 w:rsidRPr="006349C0">
        <w:rPr>
          <w:color w:val="000000"/>
        </w:rPr>
        <w:t xml:space="preserve">Explain critical peak pricing. The table below shows alternative voluntary pricing schemes ($/kWh). Assume that </w:t>
      </w:r>
      <w:r w:rsidR="00965330">
        <w:rPr>
          <w:color w:val="000000"/>
        </w:rPr>
        <w:t>custo</w:t>
      </w:r>
      <w:r w:rsidRPr="006349C0">
        <w:rPr>
          <w:color w:val="000000"/>
        </w:rPr>
        <w:t>mer</w:t>
      </w:r>
      <w:r w:rsidR="00965330">
        <w:rPr>
          <w:color w:val="000000"/>
        </w:rPr>
        <w:t>s</w:t>
      </w:r>
      <w:r w:rsidRPr="006349C0">
        <w:rPr>
          <w:color w:val="000000"/>
        </w:rPr>
        <w:t xml:space="preserve"> consume 30 % of electricity at night, 40 % in the morning, and 30 % during the afternoon peak</w:t>
      </w:r>
      <w:r w:rsidR="006349C0">
        <w:rPr>
          <w:b/>
          <w:color w:val="000000"/>
        </w:rPr>
        <w:t>, of which 1/3 is during critical peak hours</w:t>
      </w:r>
      <w:r w:rsidRPr="006349C0">
        <w:rPr>
          <w:color w:val="000000"/>
        </w:rPr>
        <w:t xml:space="preserve">. Which of the three alternatives will </w:t>
      </w:r>
      <w:r w:rsidR="00965330">
        <w:rPr>
          <w:color w:val="000000"/>
        </w:rPr>
        <w:t>they</w:t>
      </w:r>
      <w:r w:rsidR="00965330" w:rsidRPr="00965330">
        <w:rPr>
          <w:color w:val="000000"/>
        </w:rPr>
        <w:t xml:space="preserve"> </w:t>
      </w:r>
      <w:r w:rsidRPr="006349C0">
        <w:rPr>
          <w:color w:val="000000"/>
        </w:rPr>
        <w:t xml:space="preserve">choose? </w:t>
      </w:r>
    </w:p>
    <w:p w:rsidR="006349C0" w:rsidRDefault="006349C0">
      <w:pPr>
        <w:rPr>
          <w:color w:val="000000"/>
        </w:rPr>
      </w:pPr>
      <w:r>
        <w:rPr>
          <w:color w:val="000000"/>
        </w:rPr>
        <w:br w:type="page"/>
      </w:r>
    </w:p>
    <w:p w:rsidR="004D566B" w:rsidRPr="006349C0" w:rsidRDefault="004D566B" w:rsidP="006349C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color w:val="000000"/>
        </w:rPr>
      </w:pPr>
      <w:bookmarkStart w:id="1" w:name="_GoBack"/>
      <w:bookmarkEnd w:id="1"/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2538"/>
        <w:gridCol w:w="1170"/>
        <w:gridCol w:w="1350"/>
        <w:gridCol w:w="1339"/>
      </w:tblGrid>
      <w:tr w:rsidR="004D566B" w:rsidRPr="004D566B" w:rsidTr="009E3A6A">
        <w:trPr>
          <w:trHeight w:val="254"/>
        </w:trPr>
        <w:tc>
          <w:tcPr>
            <w:tcW w:w="2538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</w:p>
        </w:tc>
        <w:tc>
          <w:tcPr>
            <w:tcW w:w="117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Flat rate</w:t>
            </w:r>
          </w:p>
        </w:tc>
        <w:tc>
          <w:tcPr>
            <w:tcW w:w="135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Time-of-use rate</w:t>
            </w:r>
          </w:p>
        </w:tc>
        <w:tc>
          <w:tcPr>
            <w:tcW w:w="1339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CPP rate</w:t>
            </w:r>
          </w:p>
        </w:tc>
      </w:tr>
      <w:tr w:rsidR="004D566B" w:rsidRPr="004D566B" w:rsidTr="009E3A6A">
        <w:trPr>
          <w:trHeight w:val="254"/>
        </w:trPr>
        <w:tc>
          <w:tcPr>
            <w:tcW w:w="2538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Fixed charge</w:t>
            </w:r>
          </w:p>
        </w:tc>
        <w:tc>
          <w:tcPr>
            <w:tcW w:w="117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10.00</w:t>
            </w:r>
          </w:p>
        </w:tc>
        <w:tc>
          <w:tcPr>
            <w:tcW w:w="135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10.00</w:t>
            </w:r>
          </w:p>
        </w:tc>
        <w:tc>
          <w:tcPr>
            <w:tcW w:w="1339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10.00</w:t>
            </w:r>
          </w:p>
        </w:tc>
      </w:tr>
      <w:tr w:rsidR="004D566B" w:rsidRPr="004D566B" w:rsidTr="009E3A6A">
        <w:trPr>
          <w:trHeight w:val="268"/>
        </w:trPr>
        <w:tc>
          <w:tcPr>
            <w:tcW w:w="6397" w:type="dxa"/>
            <w:gridSpan w:val="4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</w:p>
        </w:tc>
      </w:tr>
      <w:tr w:rsidR="004D566B" w:rsidRPr="004D566B" w:rsidTr="009E3A6A">
        <w:trPr>
          <w:trHeight w:val="254"/>
        </w:trPr>
        <w:tc>
          <w:tcPr>
            <w:tcW w:w="2538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Energy charge (kWh)</w:t>
            </w:r>
          </w:p>
        </w:tc>
        <w:tc>
          <w:tcPr>
            <w:tcW w:w="117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</w:p>
        </w:tc>
        <w:tc>
          <w:tcPr>
            <w:tcW w:w="135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</w:p>
        </w:tc>
        <w:tc>
          <w:tcPr>
            <w:tcW w:w="1339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</w:p>
        </w:tc>
      </w:tr>
      <w:tr w:rsidR="004D566B" w:rsidRPr="004D566B" w:rsidTr="009E3A6A">
        <w:trPr>
          <w:trHeight w:val="254"/>
        </w:trPr>
        <w:tc>
          <w:tcPr>
            <w:tcW w:w="2538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Nights</w:t>
            </w:r>
          </w:p>
        </w:tc>
        <w:tc>
          <w:tcPr>
            <w:tcW w:w="117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0.12</w:t>
            </w:r>
          </w:p>
        </w:tc>
        <w:tc>
          <w:tcPr>
            <w:tcW w:w="135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0.07</w:t>
            </w:r>
          </w:p>
        </w:tc>
        <w:tc>
          <w:tcPr>
            <w:tcW w:w="1339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0.07</w:t>
            </w:r>
          </w:p>
        </w:tc>
      </w:tr>
      <w:tr w:rsidR="004D566B" w:rsidRPr="004D566B" w:rsidTr="009E3A6A">
        <w:trPr>
          <w:trHeight w:val="254"/>
        </w:trPr>
        <w:tc>
          <w:tcPr>
            <w:tcW w:w="2538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Mornings</w:t>
            </w:r>
          </w:p>
        </w:tc>
        <w:tc>
          <w:tcPr>
            <w:tcW w:w="117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0.12</w:t>
            </w:r>
          </w:p>
        </w:tc>
        <w:tc>
          <w:tcPr>
            <w:tcW w:w="135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0.11</w:t>
            </w:r>
          </w:p>
        </w:tc>
        <w:tc>
          <w:tcPr>
            <w:tcW w:w="1339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0.11</w:t>
            </w:r>
          </w:p>
        </w:tc>
      </w:tr>
      <w:tr w:rsidR="004D566B" w:rsidRPr="004D566B" w:rsidTr="009E3A6A">
        <w:trPr>
          <w:trHeight w:val="254"/>
        </w:trPr>
        <w:tc>
          <w:tcPr>
            <w:tcW w:w="2538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Afternoon peak</w:t>
            </w:r>
          </w:p>
        </w:tc>
        <w:tc>
          <w:tcPr>
            <w:tcW w:w="117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0.12</w:t>
            </w:r>
          </w:p>
        </w:tc>
        <w:tc>
          <w:tcPr>
            <w:tcW w:w="135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0.2</w:t>
            </w:r>
          </w:p>
        </w:tc>
        <w:tc>
          <w:tcPr>
            <w:tcW w:w="1339" w:type="dxa"/>
          </w:tcPr>
          <w:p w:rsidR="004D566B" w:rsidRPr="006349C0" w:rsidRDefault="004D566B" w:rsidP="006349C0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0.</w:t>
            </w:r>
            <w:r w:rsidR="006349C0">
              <w:rPr>
                <w:rFonts w:cs="Times New Roman"/>
                <w:szCs w:val="24"/>
              </w:rPr>
              <w:t>15</w:t>
            </w:r>
          </w:p>
        </w:tc>
      </w:tr>
      <w:tr w:rsidR="004D566B" w:rsidRPr="004D566B" w:rsidTr="009E3A6A">
        <w:trPr>
          <w:trHeight w:val="254"/>
        </w:trPr>
        <w:tc>
          <w:tcPr>
            <w:tcW w:w="2538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Critical peak hours</w:t>
            </w:r>
          </w:p>
        </w:tc>
        <w:tc>
          <w:tcPr>
            <w:tcW w:w="117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</w:p>
        </w:tc>
        <w:tc>
          <w:tcPr>
            <w:tcW w:w="1350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</w:p>
        </w:tc>
        <w:tc>
          <w:tcPr>
            <w:tcW w:w="1339" w:type="dxa"/>
          </w:tcPr>
          <w:p w:rsidR="004D566B" w:rsidRPr="006349C0" w:rsidRDefault="004D566B" w:rsidP="009E3A6A">
            <w:pPr>
              <w:rPr>
                <w:rFonts w:cs="Times New Roman"/>
                <w:szCs w:val="24"/>
              </w:rPr>
            </w:pPr>
            <w:r w:rsidRPr="006349C0">
              <w:rPr>
                <w:rFonts w:cs="Times New Roman"/>
                <w:szCs w:val="24"/>
              </w:rPr>
              <w:t>0.25</w:t>
            </w:r>
          </w:p>
        </w:tc>
      </w:tr>
    </w:tbl>
    <w:p w:rsidR="004D566B" w:rsidRDefault="004D566B" w:rsidP="004D566B"/>
    <w:p w:rsidR="00E24C69" w:rsidRDefault="00E24C69" w:rsidP="006349C0"/>
    <w:sectPr w:rsidR="00E24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D66F8"/>
    <w:multiLevelType w:val="multilevel"/>
    <w:tmpl w:val="2774064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0402"/>
    <w:multiLevelType w:val="hybridMultilevel"/>
    <w:tmpl w:val="CBA40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A6"/>
    <w:rsid w:val="001365F8"/>
    <w:rsid w:val="001633AC"/>
    <w:rsid w:val="002C48B7"/>
    <w:rsid w:val="003B340B"/>
    <w:rsid w:val="003F1FCD"/>
    <w:rsid w:val="004D566B"/>
    <w:rsid w:val="004E7341"/>
    <w:rsid w:val="005960D9"/>
    <w:rsid w:val="006349C0"/>
    <w:rsid w:val="006810A6"/>
    <w:rsid w:val="006B6FAC"/>
    <w:rsid w:val="00712C80"/>
    <w:rsid w:val="00961405"/>
    <w:rsid w:val="00965330"/>
    <w:rsid w:val="00A16F59"/>
    <w:rsid w:val="00B36075"/>
    <w:rsid w:val="00BC1526"/>
    <w:rsid w:val="00C669BC"/>
    <w:rsid w:val="00D37461"/>
    <w:rsid w:val="00E24C69"/>
    <w:rsid w:val="00E519AB"/>
    <w:rsid w:val="00E55547"/>
    <w:rsid w:val="00EA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0D224"/>
  <w15:chartTrackingRefBased/>
  <w15:docId w15:val="{24F28729-3104-4054-A23B-96D8A582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526"/>
    <w:pPr>
      <w:ind w:left="720"/>
      <w:contextualSpacing/>
    </w:pPr>
  </w:style>
  <w:style w:type="table" w:styleId="TableGrid">
    <w:name w:val="Table Grid"/>
    <w:basedOn w:val="TableNormal"/>
    <w:uiPriority w:val="59"/>
    <w:rsid w:val="004D566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BCOBUser</dc:creator>
  <cp:keywords/>
  <dc:description/>
  <cp:lastModifiedBy>Schwarz, Peter</cp:lastModifiedBy>
  <cp:revision>2</cp:revision>
  <dcterms:created xsi:type="dcterms:W3CDTF">2022-04-29T20:07:00Z</dcterms:created>
  <dcterms:modified xsi:type="dcterms:W3CDTF">2022-04-29T20:07:00Z</dcterms:modified>
</cp:coreProperties>
</file>