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BE0" w:rsidRPr="00042F9B" w:rsidRDefault="00DB4BE0" w:rsidP="00960EFD">
      <w:pPr>
        <w:pStyle w:val="Heading1"/>
      </w:pPr>
      <w:r w:rsidRPr="00042F9B">
        <w:rPr>
          <w:sz w:val="24"/>
          <w:szCs w:val="24"/>
        </w:rPr>
        <w:t xml:space="preserve">Box 15.1: The Common External Tariff </w:t>
      </w:r>
    </w:p>
    <w:p w:rsidR="00DB4BE0" w:rsidRPr="00042F9B" w:rsidRDefault="00DB4BE0" w:rsidP="003B62F8">
      <w:pPr>
        <w:pBdr>
          <w:top w:val="single" w:sz="4" w:space="1" w:color="auto"/>
          <w:left w:val="single" w:sz="4" w:space="4" w:color="auto"/>
          <w:bottom w:val="single" w:sz="4" w:space="1" w:color="auto"/>
          <w:right w:val="single" w:sz="4" w:space="4" w:color="auto"/>
        </w:pBdr>
        <w:tabs>
          <w:tab w:val="left" w:pos="491"/>
        </w:tabs>
        <w:spacing w:line="360" w:lineRule="auto"/>
        <w:rPr>
          <w:sz w:val="24"/>
          <w:szCs w:val="24"/>
        </w:rPr>
      </w:pPr>
      <w:r w:rsidRPr="00042F9B">
        <w:rPr>
          <w:sz w:val="24"/>
          <w:szCs w:val="24"/>
        </w:rPr>
        <w:tab/>
      </w:r>
    </w:p>
    <w:p w:rsidR="00DB4BE0" w:rsidRPr="00042F9B" w:rsidRDefault="00DB4BE0" w:rsidP="003B62F8">
      <w:pPr>
        <w:pBdr>
          <w:top w:val="single" w:sz="4" w:space="1" w:color="auto"/>
          <w:left w:val="single" w:sz="4" w:space="4" w:color="auto"/>
          <w:bottom w:val="single" w:sz="4" w:space="1" w:color="auto"/>
          <w:right w:val="single" w:sz="4" w:space="4" w:color="auto"/>
        </w:pBdr>
        <w:spacing w:line="360" w:lineRule="auto"/>
        <w:rPr>
          <w:sz w:val="24"/>
          <w:szCs w:val="24"/>
        </w:rPr>
      </w:pPr>
      <w:r w:rsidRPr="00042F9B">
        <w:rPr>
          <w:sz w:val="24"/>
          <w:szCs w:val="24"/>
        </w:rPr>
        <w:t>The Common External Tariff (CET) lies at the heart of the CCP and is its most well-established and visible element. A customs union, as opposed to a looser free trade area arrangement, requires its members to adopt common tariffs. Without common tariffs, third countries would be able to by-pass the higher tariffs involved in exporting to certain parts of the union by exporting to the lowest tariff member and then re-exporting the goods within the customs union area, where internal trade is tariff-free, to the final destination.</w:t>
      </w:r>
    </w:p>
    <w:p w:rsidR="00DB4BE0" w:rsidRPr="00042F9B" w:rsidRDefault="00DB4BE0" w:rsidP="003B62F8">
      <w:pPr>
        <w:pBdr>
          <w:top w:val="single" w:sz="4" w:space="1" w:color="auto"/>
          <w:left w:val="single" w:sz="4" w:space="4" w:color="auto"/>
          <w:bottom w:val="single" w:sz="4" w:space="1" w:color="auto"/>
          <w:right w:val="single" w:sz="4" w:space="4" w:color="auto"/>
        </w:pBdr>
        <w:spacing w:line="360" w:lineRule="auto"/>
        <w:rPr>
          <w:sz w:val="24"/>
          <w:szCs w:val="24"/>
        </w:rPr>
      </w:pPr>
    </w:p>
    <w:p w:rsidR="00DB4BE0" w:rsidRPr="00042F9B" w:rsidRDefault="00DB4BE0" w:rsidP="003B62F8">
      <w:pPr>
        <w:pBdr>
          <w:top w:val="single" w:sz="4" w:space="1" w:color="auto"/>
          <w:left w:val="single" w:sz="4" w:space="4" w:color="auto"/>
          <w:bottom w:val="single" w:sz="4" w:space="1" w:color="auto"/>
          <w:right w:val="single" w:sz="4" w:space="4" w:color="auto"/>
        </w:pBdr>
        <w:spacing w:line="360" w:lineRule="auto"/>
        <w:rPr>
          <w:sz w:val="24"/>
          <w:szCs w:val="24"/>
        </w:rPr>
      </w:pPr>
      <w:r w:rsidRPr="00042F9B">
        <w:rPr>
          <w:sz w:val="24"/>
          <w:szCs w:val="24"/>
        </w:rPr>
        <w:t xml:space="preserve">Eight successive rounds of trade liberalisation talks were completed prior to the formation of the WTO in 1995, resulting in systematic reductions in its members’ tariffs. At the time of GATT’s launch in 1948, average tariffs for most signatories to the original GATT agreement were well into double figures (French tariffs, for example, averaged 21 per cent and those of the UK 23 per cent) – levels which were a trade deterrent. According to the World Bank’s World Development Indicators, the EU’s simple mean bound* tariff was 3.96 per cent in 2012 whereas the weighted mean tariff on all products was 1.02 per cent. The weighted mean tariff is the average of effectively applied tariff rates weighted by the amount of product imported and as such is a better reflection of the role of tariffs in a country’s overall trade position than the simple average. </w:t>
      </w:r>
    </w:p>
    <w:p w:rsidR="00DB4BE0" w:rsidRPr="00042F9B" w:rsidRDefault="00DB4BE0" w:rsidP="003B62F8">
      <w:pPr>
        <w:pBdr>
          <w:top w:val="single" w:sz="4" w:space="1" w:color="auto"/>
          <w:left w:val="single" w:sz="4" w:space="4" w:color="auto"/>
          <w:bottom w:val="single" w:sz="4" w:space="1" w:color="auto"/>
          <w:right w:val="single" w:sz="4" w:space="4" w:color="auto"/>
        </w:pBdr>
        <w:spacing w:line="360" w:lineRule="auto"/>
        <w:rPr>
          <w:sz w:val="24"/>
          <w:szCs w:val="24"/>
        </w:rPr>
      </w:pPr>
    </w:p>
    <w:p w:rsidR="00DB4BE0" w:rsidRPr="00042F9B" w:rsidRDefault="00DB4BE0" w:rsidP="003B62F8">
      <w:pPr>
        <w:pBdr>
          <w:top w:val="single" w:sz="4" w:space="1" w:color="auto"/>
          <w:left w:val="single" w:sz="4" w:space="4" w:color="auto"/>
          <w:bottom w:val="single" w:sz="4" w:space="1" w:color="auto"/>
          <w:right w:val="single" w:sz="4" w:space="4" w:color="auto"/>
        </w:pBdr>
        <w:spacing w:line="360" w:lineRule="auto"/>
        <w:rPr>
          <w:sz w:val="24"/>
          <w:szCs w:val="24"/>
        </w:rPr>
      </w:pPr>
      <w:r w:rsidRPr="00042F9B">
        <w:rPr>
          <w:sz w:val="24"/>
          <w:szCs w:val="24"/>
        </w:rPr>
        <w:t>However, these figures still mask important variations in the degree of protection against imports afforded to EU business. Raw materials, in particular, often enter the EU duty</w:t>
      </w:r>
      <w:r>
        <w:t>-</w:t>
      </w:r>
      <w:r w:rsidRPr="00042F9B">
        <w:rPr>
          <w:sz w:val="24"/>
          <w:szCs w:val="24"/>
        </w:rPr>
        <w:t xml:space="preserve">free and are relatively free from non-tariff barriers: this is confirmed by the disaggregation of the 1.02 per cent weighted mean on all products into a weighted mean tariff of 0.35 per cent for primary products and 1.61 per cent for manufactured products. Moreover, a significant proportion of imports enter the EU duty-free under the terms of the growing range of preferential agreements to which the EU is party. </w:t>
      </w:r>
    </w:p>
    <w:p w:rsidR="00DB4BE0" w:rsidRPr="00042F9B" w:rsidRDefault="00DB4BE0" w:rsidP="003B62F8">
      <w:pPr>
        <w:pBdr>
          <w:top w:val="single" w:sz="4" w:space="1" w:color="auto"/>
          <w:left w:val="single" w:sz="4" w:space="4" w:color="auto"/>
          <w:bottom w:val="single" w:sz="4" w:space="1" w:color="auto"/>
          <w:right w:val="single" w:sz="4" w:space="4" w:color="auto"/>
        </w:pBdr>
        <w:spacing w:line="360" w:lineRule="auto"/>
        <w:rPr>
          <w:sz w:val="24"/>
          <w:szCs w:val="24"/>
        </w:rPr>
      </w:pPr>
    </w:p>
    <w:p w:rsidR="00DB4BE0" w:rsidRPr="00042F9B" w:rsidRDefault="00DB4BE0" w:rsidP="003B62F8">
      <w:pPr>
        <w:pBdr>
          <w:top w:val="single" w:sz="4" w:space="1" w:color="auto"/>
          <w:left w:val="single" w:sz="4" w:space="4" w:color="auto"/>
          <w:bottom w:val="single" w:sz="4" w:space="1" w:color="auto"/>
          <w:right w:val="single" w:sz="4" w:space="4" w:color="auto"/>
        </w:pBdr>
        <w:spacing w:line="360" w:lineRule="auto"/>
        <w:rPr>
          <w:sz w:val="24"/>
          <w:szCs w:val="24"/>
        </w:rPr>
      </w:pPr>
      <w:r w:rsidRPr="00042F9B">
        <w:rPr>
          <w:sz w:val="24"/>
          <w:szCs w:val="24"/>
        </w:rPr>
        <w:t xml:space="preserve">The World Development Indicators also highlight the relatively low level of tariff protection within the EU and the big differences in tariff rates across countries. The EU’s low mean average tariff rate of 1.02 percent on all products is not that dissimilar to tariffs in advanced industrial nations – the equivalent figure for Canada, for example, is 0.83 per cent; for Japan 1.22 per cent and the US 1.54 per cent. However, the tariff rates for large, emerging markets are higher: Brazil’s weighted average tariff on all products is 7.73 per cent and on manufactured products 10.28 per cent: the corresponding figures for China are 4.1per cent and 6.22 respectively and for India 8.18 per cent and 8.3 per cent. The rates of many of the least developed countries are significantly higher still, often well into double figures. These factors go some way to explain why further tariff removal has formed an important part of the Doha agenda.   </w:t>
      </w:r>
    </w:p>
    <w:p w:rsidR="00DB4BE0" w:rsidRPr="00042F9B" w:rsidRDefault="00DB4BE0" w:rsidP="003B62F8">
      <w:pPr>
        <w:pBdr>
          <w:top w:val="single" w:sz="4" w:space="1" w:color="auto"/>
          <w:left w:val="single" w:sz="4" w:space="4" w:color="auto"/>
          <w:bottom w:val="single" w:sz="4" w:space="1" w:color="auto"/>
          <w:right w:val="single" w:sz="4" w:space="4" w:color="auto"/>
        </w:pBdr>
        <w:spacing w:line="360" w:lineRule="auto"/>
        <w:rPr>
          <w:sz w:val="24"/>
          <w:szCs w:val="24"/>
        </w:rPr>
      </w:pPr>
    </w:p>
    <w:p w:rsidR="00DB4BE0" w:rsidRPr="00042F9B" w:rsidRDefault="00DB4BE0" w:rsidP="003B62F8">
      <w:pPr>
        <w:pBdr>
          <w:top w:val="single" w:sz="4" w:space="1" w:color="auto"/>
          <w:left w:val="single" w:sz="4" w:space="4" w:color="auto"/>
          <w:bottom w:val="single" w:sz="4" w:space="1" w:color="auto"/>
          <w:right w:val="single" w:sz="4" w:space="4" w:color="auto"/>
        </w:pBdr>
        <w:spacing w:line="360" w:lineRule="auto"/>
        <w:rPr>
          <w:sz w:val="24"/>
          <w:szCs w:val="24"/>
        </w:rPr>
      </w:pPr>
      <w:r w:rsidRPr="00042F9B">
        <w:rPr>
          <w:sz w:val="24"/>
          <w:szCs w:val="24"/>
        </w:rPr>
        <w:t xml:space="preserve">*bound tariffs are tariffs which WTO members are committed to not raising - </w:t>
      </w:r>
    </w:p>
    <w:p w:rsidR="00DB4BE0" w:rsidRDefault="00DB4BE0">
      <w:pPr>
        <w:sectPr w:rsidR="00DB4BE0">
          <w:pgSz w:w="11906" w:h="16838"/>
          <w:pgMar w:top="1440" w:right="1440" w:bottom="1440" w:left="1440" w:header="708" w:footer="708" w:gutter="0"/>
          <w:cols w:space="708"/>
          <w:docGrid w:linePitch="360"/>
        </w:sectPr>
      </w:pPr>
    </w:p>
    <w:p w:rsidR="00A44C02" w:rsidRDefault="00A44C02">
      <w:bookmarkStart w:id="0" w:name="_GoBack"/>
      <w:bookmarkEnd w:id="0"/>
    </w:p>
    <w:sectPr w:rsidR="00A44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F8"/>
    <w:rsid w:val="001055C2"/>
    <w:rsid w:val="003B62F8"/>
    <w:rsid w:val="003C3F3E"/>
    <w:rsid w:val="00A44C02"/>
    <w:rsid w:val="00DB4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F8"/>
    <w:pPr>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uiPriority w:val="9"/>
    <w:qFormat/>
    <w:rsid w:val="00DB4BE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BE0"/>
    <w:rPr>
      <w:rFonts w:asciiTheme="majorHAnsi" w:eastAsiaTheme="majorEastAsia" w:hAnsiTheme="majorHAnsi" w:cstheme="majorBidi"/>
      <w:b/>
      <w:bCs/>
      <w:kern w:val="32"/>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F8"/>
    <w:pPr>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uiPriority w:val="9"/>
    <w:qFormat/>
    <w:rsid w:val="00DB4BE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BE0"/>
    <w:rPr>
      <w:rFonts w:asciiTheme="majorHAnsi" w:eastAsiaTheme="majorEastAsia" w:hAnsiTheme="majorHAnsi" w:cstheme="majorBidi"/>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2603</Characters>
  <Application>Microsoft Office Word</Application>
  <DocSecurity>0</DocSecurity>
  <Lines>21</Lines>
  <Paragraphs>6</Paragraphs>
  <ScaleCrop>false</ScaleCrop>
  <Company>Informa PLC</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Waldron, Sinead</dc:creator>
  <cp:lastModifiedBy>Waldron, Sinead</cp:lastModifiedBy>
  <cp:revision>1</cp:revision>
  <dcterms:created xsi:type="dcterms:W3CDTF">2015-09-18T11:09:00Z</dcterms:created>
  <dcterms:modified xsi:type="dcterms:W3CDTF">2015-09-18T11:09:00Z</dcterms:modified>
</cp:coreProperties>
</file>