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57B" w:rsidRPr="001F7CCB" w:rsidRDefault="0039257B" w:rsidP="006F03B5">
      <w:pPr>
        <w:pStyle w:val="Heading1"/>
      </w:pPr>
      <w:r w:rsidRPr="001F7CCB">
        <w:t>Case Study 18.1: Siemens – a European MNE with a long history in BRIC markets</w:t>
      </w: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rPr>
          <w:b/>
          <w:bCs/>
        </w:rPr>
      </w:pP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pPr>
      <w:r w:rsidRPr="001F7CCB">
        <w:t>Siemens is an engineering and electrical multinational with headquarters in Munich and Berlin. In 2014, it was 58</w:t>
      </w:r>
      <w:r w:rsidRPr="001F7CCB">
        <w:rPr>
          <w:vertAlign w:val="superscript"/>
        </w:rPr>
        <w:t>th</w:t>
      </w:r>
      <w:r w:rsidRPr="001F7CCB">
        <w:t xml:space="preserve"> by revenue on the Global Fortune 500 list with 362,000 employees worldwide and revenue in Fiscal 2013 (ending September 30, 2013) of €75.9 bn. Its activities are organised within four divisions – industry, energy, healthcare and infrastructure and cities – spread over almost 190 countries worldwide.</w:t>
      </w: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pP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pPr>
      <w:r w:rsidRPr="001F7CCB">
        <w:t xml:space="preserve">Siemens was founded in 1847 for the purpose of developing and exploiting the new invention of the telegraph. By the late nineteenth century, the company was manufacturing light bulbs, electric lighting and electric trains. In the interwar years, Siemens started to produce radios, television sets and scientific equipment and began its involvement in power generation. During the post-war era, Siemens developed its existing strengths and diversified rapidly into those activities that form the basis of its current portfolio, including electrical appliances, information and communication technology, nuclear power, advanced medical equipment, etc. </w:t>
      </w: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pP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pPr>
      <w:r w:rsidRPr="001F7CCB">
        <w:t xml:space="preserve">Siemens initial involvement in what later became the BRIC economies goes back to the nineteenth century and was grounded in telegraphy. As early as 1853, Siemens founded an office in St Petersburg to co-ordinate the building of long distance telegraph networks in Russia. In 1867, Siemens installed the first telegraph line between the states of Rio de Janeiro and Rio Grande do Sul in Brazil. Also in 1867, Siemens laid the world’s first transcontinental undersea telegraph cable which linked London and Calcutta. In 1872, Siemens exported pointer telegraphs to China and in 1899 built China’s first electric tram in Beijing. In the early twentieth century, Siemens built power plants, steelworks and China’s first high voltage line. By the 1930s, Siemens China Company was Siemens largest company outside Europe. </w:t>
      </w:r>
    </w:p>
    <w:p w:rsidR="0039257B" w:rsidRPr="001F7CCB" w:rsidRDefault="0039257B" w:rsidP="00017217">
      <w:pPr>
        <w:pBdr>
          <w:top w:val="single" w:sz="4" w:space="1" w:color="auto"/>
          <w:left w:val="single" w:sz="4" w:space="1" w:color="auto"/>
          <w:bottom w:val="single" w:sz="4" w:space="1" w:color="auto"/>
          <w:right w:val="single" w:sz="4" w:space="21" w:color="auto"/>
        </w:pBdr>
        <w:spacing w:line="360" w:lineRule="auto"/>
      </w:pPr>
    </w:p>
    <w:p w:rsidR="0039257B" w:rsidRDefault="0039257B" w:rsidP="00017217">
      <w:pPr>
        <w:pBdr>
          <w:top w:val="single" w:sz="4" w:space="1" w:color="auto"/>
          <w:left w:val="single" w:sz="4" w:space="1" w:color="auto"/>
          <w:bottom w:val="single" w:sz="4" w:space="1" w:color="auto"/>
          <w:right w:val="single" w:sz="4" w:space="21" w:color="auto"/>
        </w:pBdr>
        <w:spacing w:line="360" w:lineRule="auto"/>
      </w:pPr>
      <w:r w:rsidRPr="001F7CCB">
        <w:t>The current rapid development of the BRIC economies makes them very attractive markets for Siemens with great potential for much higher levels of engagement. A priority for these economies is to develop the quantity and quality of infrastructure to support their long</w:t>
      </w:r>
      <w:r>
        <w:t>-</w:t>
      </w:r>
      <w:r w:rsidRPr="001F7CCB">
        <w:t>term economic aspirations, aspirations which require the acquisition of modern industrial technology. Energy developments, both from the producer and consumer perspectives, are also central to long</w:t>
      </w:r>
      <w:r>
        <w:t>-</w:t>
      </w:r>
      <w:r w:rsidRPr="001F7CCB">
        <w:t>term success. Moreover, development should involve better quality of life for which improvements in the quality of health care are paramount. Siemens can be an important partner for the BRIC economies in all these areas but, as shown below, although the rewards are potentially high, involvement in these markets can also be problematic and associated with significant risks.</w:t>
      </w:r>
    </w:p>
    <w:p w:rsidR="0039257B" w:rsidRDefault="0039257B" w:rsidP="00017217">
      <w:pPr>
        <w:pBdr>
          <w:top w:val="single" w:sz="4" w:space="1" w:color="auto"/>
          <w:left w:val="single" w:sz="4" w:space="1" w:color="auto"/>
          <w:bottom w:val="single" w:sz="4" w:space="1" w:color="auto"/>
          <w:right w:val="single" w:sz="4" w:space="21" w:color="auto"/>
        </w:pBdr>
        <w:spacing w:line="360" w:lineRule="auto"/>
        <w:rPr>
          <w:highlight w:val="magenta"/>
        </w:rPr>
      </w:pPr>
    </w:p>
    <w:p w:rsidR="0039257B" w:rsidRPr="002A769D" w:rsidRDefault="0039257B" w:rsidP="00017217">
      <w:pPr>
        <w:pBdr>
          <w:top w:val="single" w:sz="4" w:space="1" w:color="auto"/>
          <w:left w:val="single" w:sz="4" w:space="1" w:color="auto"/>
          <w:bottom w:val="single" w:sz="4" w:space="1" w:color="auto"/>
          <w:right w:val="single" w:sz="4" w:space="21" w:color="auto"/>
        </w:pBdr>
        <w:spacing w:line="360" w:lineRule="auto"/>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39257B" w:rsidRPr="001F7CCB" w:rsidTr="00791993">
        <w:tc>
          <w:tcPr>
            <w:tcW w:w="8522" w:type="dxa"/>
            <w:gridSpan w:val="3"/>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t xml:space="preserve">Table 18.2: </w:t>
            </w:r>
            <w:r w:rsidRPr="001F7CCB">
              <w:t>Siemens in the BRIC economies – Fiscal 2013 (1.10.12-30.9.13)</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Revenue (€bn)</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Employees</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rsidRPr="001F7CCB">
              <w:t>Brazil</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1.95</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7,910</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rsidRPr="001F7CCB">
              <w:t>Russia</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2.17</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3,120</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rsidRPr="001F7CCB">
              <w:t xml:space="preserve">India </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1.83</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18,500</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rsidRPr="001F7CCB">
              <w:t>China</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6.14</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31,830</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rsidRPr="001F7CCB">
              <w:t>BRIC total</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12.09</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61,360</w:t>
            </w:r>
          </w:p>
        </w:tc>
      </w:tr>
      <w:tr w:rsidR="0039257B" w:rsidRPr="001F7CCB" w:rsidTr="00791993">
        <w:tc>
          <w:tcPr>
            <w:tcW w:w="2840"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pPr>
            <w:r w:rsidRPr="001F7CCB">
              <w:t>BRIC as % of total</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15.9</w:t>
            </w:r>
          </w:p>
        </w:tc>
        <w:tc>
          <w:tcPr>
            <w:tcW w:w="2841" w:type="dxa"/>
          </w:tcPr>
          <w:p w:rsidR="0039257B" w:rsidRPr="001F7CCB" w:rsidRDefault="0039257B" w:rsidP="00791993">
            <w:pPr>
              <w:pBdr>
                <w:top w:val="single" w:sz="4" w:space="1" w:color="auto"/>
                <w:left w:val="single" w:sz="4" w:space="1" w:color="auto"/>
                <w:bottom w:val="single" w:sz="4" w:space="1" w:color="auto"/>
                <w:right w:val="single" w:sz="4" w:space="1" w:color="auto"/>
              </w:pBdr>
              <w:spacing w:line="360" w:lineRule="auto"/>
              <w:jc w:val="center"/>
            </w:pPr>
            <w:r w:rsidRPr="001F7CCB">
              <w:t>17.0</w:t>
            </w:r>
          </w:p>
        </w:tc>
      </w:tr>
    </w:tbl>
    <w:p w:rsidR="0039257B" w:rsidRDefault="0039257B" w:rsidP="005C7413">
      <w:pPr>
        <w:pBdr>
          <w:top w:val="single" w:sz="4" w:space="1" w:color="auto"/>
          <w:left w:val="single" w:sz="4" w:space="1" w:color="auto"/>
          <w:bottom w:val="single" w:sz="4" w:space="1" w:color="auto"/>
          <w:right w:val="single" w:sz="4" w:space="1" w:color="auto"/>
        </w:pBdr>
        <w:spacing w:line="360" w:lineRule="auto"/>
      </w:pPr>
    </w:p>
    <w:p w:rsidR="0039257B" w:rsidRDefault="0039257B" w:rsidP="005C7413">
      <w:pPr>
        <w:pBdr>
          <w:top w:val="single" w:sz="4" w:space="1" w:color="auto"/>
          <w:left w:val="single" w:sz="4" w:space="1" w:color="auto"/>
          <w:bottom w:val="single" w:sz="4" w:space="1" w:color="auto"/>
          <w:right w:val="single" w:sz="4" w:space="1" w:color="auto"/>
        </w:pBdr>
        <w:spacing w:line="360" w:lineRule="auto"/>
      </w:pP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rPr>
          <w:i/>
        </w:rPr>
      </w:pPr>
      <w:r w:rsidRPr="001F7CCB">
        <w:rPr>
          <w:i/>
        </w:rPr>
        <w:t>Industry</w:t>
      </w: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rPr>
          <w:i/>
        </w:rPr>
      </w:pP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pPr>
      <w:r w:rsidRPr="001F7CCB">
        <w:t>Siemens’ industry division, which in 2013 accounted for 24 per cent of the company’s revenue, specialises in automation technology, motors and drivers, metal technology and industrial services and training. In Russia, the company has a number of co</w:t>
      </w:r>
      <w:r>
        <w:t>-operation</w:t>
      </w:r>
      <w:r w:rsidRPr="001F7CCB">
        <w:t xml:space="preserve"> agreements with big Russian customers including Transneft Oil, Ural Mining and Metallurgical Company and United Aircraft Corporation. An example of these activities is its €270 mn, 1.8 mn ton annual capacity hot briquetting iron plant which Siemens, in conjunction with US-based Midrex Technology Inc., is developing for the Lebedinsky mining company. The following ventures are typical of Siemens activities in China. In 2013, Siemens Electronics Works Chengdu, Siemens’ first digital enterprise outside Germany, began operations.  A joint venture with Shanxi Lu An Mining Group has also begun producing large and special motors and generators and other electrical products for the Chinese market. Siemens and Tangshan Steel Group have signed a €100 mn contract to produce high strength steel sheets for the automobile industry. Similarly, in Brazil Siemens has been developing an automation platform for a beer plant; designing an innovative electrical mill for a new pulp and paper plant and project managing the rebuilding of the largest blast furnace in Brazil.</w:t>
      </w: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rPr>
          <w:i/>
        </w:rPr>
      </w:pP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rPr>
          <w:i/>
        </w:rPr>
      </w:pPr>
      <w:r w:rsidRPr="001F7CCB">
        <w:rPr>
          <w:i/>
        </w:rPr>
        <w:t>Healthcare</w:t>
      </w: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rPr>
          <w:i/>
        </w:rPr>
      </w:pP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pPr>
      <w:r w:rsidRPr="001F7CCB">
        <w:t xml:space="preserve">In 2013, 18 per cent of Siemens’ revenue came from healthcare equipment including clinical IT systems; in-vitro diagnostic equipment; imaging equipment such as CT and MRI scanners, angiography and mammography, ultrasound and </w:t>
      </w:r>
      <w:r>
        <w:t>X</w:t>
      </w:r>
      <w:r w:rsidRPr="001F7CCB">
        <w:t xml:space="preserve">-ray equipment. In 2012, Siemens was the leading supplier of CT and MRI scanners in China and has opened a factory for the manufacture of X-ray products in Shanghai and has plans to expand its activities in X-ray technology in China. Siemens has also been involved in training Chinese medical staff in the use of its equipment. In Brazil, Siemens has established a facility to produce imaging equipment such as </w:t>
      </w:r>
      <w:r>
        <w:t>X</w:t>
      </w:r>
      <w:r w:rsidRPr="001F7CCB">
        <w:t xml:space="preserve">-ray systems and CT and MRI scanners for the Brazilian and Latin American markets. Its diagnostics division provides equipment to over 20 per cent of the Brazilian market. Given its economic growth, demographic trends and its lower costs and skilled medical personnel, which make it a destination for a growing number of medical tourists, India is considered a potentially fruitful market for healthcare. Siemens has been producing a range of medical equipment in Goa since 1995, much of which has been serving export markets.  Siemens is one of Russia’s leading suppliers of diagnostic equipment. For example it has supplied ultrasound systems to the Yaroslavl region and is participating in the national medical modernisation programme which involves the supply of advanced medical equipment to eight cities in the Moscow region.  </w:t>
      </w:r>
    </w:p>
    <w:p w:rsidR="0039257B" w:rsidRPr="001F7CCB" w:rsidRDefault="0039257B" w:rsidP="005C7413">
      <w:pPr>
        <w:pBdr>
          <w:top w:val="single" w:sz="4" w:space="1" w:color="auto"/>
          <w:left w:val="single" w:sz="4" w:space="1" w:color="auto"/>
          <w:bottom w:val="single" w:sz="4" w:space="1" w:color="auto"/>
          <w:right w:val="single" w:sz="4" w:space="1" w:color="auto"/>
        </w:pBdr>
        <w:spacing w:line="360" w:lineRule="auto"/>
        <w:rPr>
          <w:b/>
        </w:rPr>
      </w:pPr>
    </w:p>
    <w:p w:rsidR="0039257B" w:rsidRDefault="0039257B" w:rsidP="005C7413">
      <w:pPr>
        <w:pBdr>
          <w:top w:val="single" w:sz="4" w:space="1" w:color="auto"/>
          <w:left w:val="single" w:sz="4" w:space="1" w:color="auto"/>
          <w:bottom w:val="single" w:sz="4" w:space="1" w:color="auto"/>
          <w:right w:val="single" w:sz="4" w:space="1" w:color="auto"/>
        </w:pBdr>
        <w:spacing w:line="360" w:lineRule="auto"/>
        <w:rPr>
          <w:i/>
        </w:rPr>
      </w:pPr>
      <w:r w:rsidRPr="001F7CCB">
        <w:rPr>
          <w:i/>
        </w:rPr>
        <w:t xml:space="preserve">Energy </w:t>
      </w:r>
    </w:p>
    <w:p w:rsidR="0039257B" w:rsidRDefault="0039257B" w:rsidP="005C7413">
      <w:pPr>
        <w:pBdr>
          <w:top w:val="single" w:sz="4" w:space="1" w:color="auto"/>
          <w:left w:val="single" w:sz="4" w:space="1" w:color="auto"/>
          <w:bottom w:val="single" w:sz="4" w:space="1" w:color="auto"/>
          <w:right w:val="single" w:sz="4" w:space="1" w:color="auto"/>
        </w:pBdr>
        <w:spacing w:line="360" w:lineRule="auto"/>
        <w:rPr>
          <w:i/>
        </w:rPr>
      </w:pPr>
    </w:p>
    <w:p w:rsidR="0039257B" w:rsidRPr="005C7413" w:rsidRDefault="0039257B" w:rsidP="005C7413">
      <w:pPr>
        <w:pBdr>
          <w:top w:val="single" w:sz="4" w:space="1" w:color="auto"/>
          <w:left w:val="single" w:sz="4" w:space="1" w:color="auto"/>
          <w:bottom w:val="single" w:sz="4" w:space="1" w:color="auto"/>
          <w:right w:val="single" w:sz="4" w:space="1" w:color="auto"/>
        </w:pBdr>
        <w:spacing w:line="360" w:lineRule="auto"/>
        <w:rPr>
          <w:i/>
        </w:rPr>
      </w:pPr>
      <w:r w:rsidRPr="001F7CCB">
        <w:t>In Fiscal 2013, energy provided 35 per cent of Siemens’ revenue. True to its roots, Siemens has been extremely active in the power sectors of all four BRIC economies but it has also, in line with contemporary demands, become a leader in green, particularly wind power, in these countries. In China, among a number of projects in the energy sector, Siemens supplied transformers for the Three Gorges Dam Project, which became fully operational in 2012, and has built high voltage power lines. Siemens was also responsible for the production of China’s first mobile 110kV substation at its transformer factory in Wuhan – an important technical milestone for Siemens in vehicle-mounted intelligent mobile substations. Together with Shanghai Electric, Siemens delivered 20 wind turbines to the Guangrao onshore wind farm which became fully operational in early 2013. Siemens has also been very active in the Russian power sector, supplying steam turbines to Kurganskaya and Syzranskaya thermal power plants. It is also providing equipment and has been awarded a service contract for the Yamal LNG project. Siemens is also involved in a large</w:t>
      </w:r>
      <w:r>
        <w:t>-</w:t>
      </w:r>
      <w:r w:rsidRPr="001F7CCB">
        <w:t xml:space="preserve">scale transmission project for the Novovoronezhskaya nuclear power plant. In addition to supplying equipment to conventional power stations in Brazil, Siemens has a contract to supply 470 MW of generating capacity to 18 wind farms in the northeast of the country. The company also has service contracts for wind, sugar and ethanol and thermal power plants throughout Brazil. Estimates suggest that Siemens electrical equipment is involved in generating 50 per cent of Brazil’s electricity and has made a contribution to two thirds of the offshore platforms built since the early 2000s. </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i/>
        </w:rPr>
      </w:pPr>
      <w:r w:rsidRPr="001F7CCB">
        <w:rPr>
          <w:i/>
        </w:rPr>
        <w:t>Infrastructure &amp; cities</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r w:rsidRPr="001F7CCB">
        <w:t xml:space="preserve">Siemens’ activities in infrastructure overlap with those of its other divisions, particularly energy and industry. For example, the company has been instrumental in modernising power grids and introducing smart grid technology in Ufa, Russia and has sold three control centres for the management of power generation and transmission to Brazil’s national grid operator. More generally, Siemens has provided equipment and technology to upgrade power generation and transmission in all four BRIC economies. Siemens is also active in transportation infrastructure, particularly in the rail and urban transport sector. For example, Siemens and Russian Railways have a memorandum of understanding for the production and delivery of 675 freight locomotives by 2020 and is contracted to supply other rail equipment in Russia. In China, Siemens has been awarded a contract for advanced propulsion systems and bogies for low-floor trams in Guangzhou and has equipped one of Beijing’s metro lines with an advanced train control system designed to enhance the line’s safety, reliability and capacity. The company also involves itself in one-off projects: for example, it provided building technology for a number of the stadia built for the 2014 World Cup in Brazil. </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highlight w:val="yellow"/>
        </w:rPr>
      </w:pP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r w:rsidRPr="001F7CCB">
        <w:t>The above examples show the potential benefits for Siemens of doing business in the BRIC economies but it could be argued that Siemens, like other European multinationals, could do more in these countries. However, things are not necessarily that straightforward and there are likely to be reasons, apart from the alleged slowness of European business to get off the mark, for relatively low levels of European involvement in the BRIC markets. As seen elsewhere in this chapter, many regulatory obstacles continue to face European exporters to and investors in these markets. Businesses involved in these countries also have to navigate very different cultures and ways of doing business.</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r w:rsidRPr="001F7CCB">
        <w:t>Continued strong economic performance of these countries is not guaranteed: China’s economy, for example, appears to be faltering in 2014 with hesitancy in the hitherto booming property market and questions being asked about the scale of the public debt incurred, particularly by regional authorities, as a result of attempts to stave off any recessionary effects of the 2007-8 international economic crisis. The double-digit growth experienced by China over 30 years cannot continue indefinitely. The key questions for Siemens and other actual and potential investors are:</w:t>
      </w:r>
    </w:p>
    <w:p w:rsidR="0039257B" w:rsidRPr="001F7CCB" w:rsidRDefault="0039257B" w:rsidP="0039257B">
      <w:pPr>
        <w:numPr>
          <w:ilvl w:val="0"/>
          <w:numId w:val="1"/>
        </w:numPr>
        <w:pBdr>
          <w:top w:val="single" w:sz="4" w:space="1" w:color="auto"/>
          <w:left w:val="single" w:sz="4" w:space="0" w:color="auto"/>
          <w:bottom w:val="single" w:sz="4" w:space="1" w:color="auto"/>
          <w:right w:val="single" w:sz="4" w:space="1" w:color="auto"/>
        </w:pBdr>
        <w:spacing w:line="360" w:lineRule="auto"/>
      </w:pPr>
      <w:r w:rsidRPr="001F7CCB">
        <w:t>are the weaknesses being shown in 2014, part of a temporary blip or the beginning of a long</w:t>
      </w:r>
      <w:r>
        <w:t>-</w:t>
      </w:r>
      <w:r w:rsidRPr="001F7CCB">
        <w:t>term structural adjustment in China’s economic performance?</w:t>
      </w:r>
    </w:p>
    <w:p w:rsidR="0039257B" w:rsidRPr="001F7CCB" w:rsidRDefault="0039257B" w:rsidP="0039257B">
      <w:pPr>
        <w:numPr>
          <w:ilvl w:val="0"/>
          <w:numId w:val="1"/>
        </w:numPr>
        <w:pBdr>
          <w:top w:val="single" w:sz="4" w:space="1" w:color="auto"/>
          <w:left w:val="single" w:sz="4" w:space="0" w:color="auto"/>
          <w:bottom w:val="single" w:sz="4" w:space="1" w:color="auto"/>
          <w:right w:val="single" w:sz="4" w:space="1" w:color="auto"/>
        </w:pBdr>
        <w:spacing w:line="360" w:lineRule="auto"/>
      </w:pPr>
      <w:r w:rsidRPr="001F7CCB">
        <w:t xml:space="preserve">what will be the response of China to economic slowdown, whether it is short or long term? For example, will it lead to greater restrictions in Chinese policy or will there be political implications resulting from any shocks to the apparently inexorable rise of China’s economic power. </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r w:rsidRPr="001F7CCB">
        <w:t>As a result of Russia’s annexation of Crimea in the spring of 2014 and the ongoing brittle relationship between Russia and the EU, European businesses are experiencing greater uncertainty in their dealings with Russia, especially in sectors affected by the EU sanctions imposed against Russia as a result of its action in Ukraine. Siemens, for example, is vulnerable because of the high</w:t>
      </w:r>
      <w:r>
        <w:t>-</w:t>
      </w:r>
      <w:r w:rsidRPr="001F7CCB">
        <w:t xml:space="preserve">technology nature of its products with sanctions being levelled against dual use technology, that is, machinery, equipment and other technology that can be used for civilian and potentially for military purposes. Siemens energy sector could also be affected by the sanctions on equipment and services to be used in the exploration for and production of oil in deep-sea areas and in the Arctic region. In addition, the damage being done to the Russian economy at the end of 2014  by lower oil prices and the falling value of the rouble will, European sanctions aside, damage the prospects of European business in Russia.  </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pP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b/>
          <w:bCs/>
        </w:rPr>
      </w:pPr>
      <w:r w:rsidRPr="001F7CCB">
        <w:rPr>
          <w:b/>
          <w:bCs/>
        </w:rPr>
        <w:t>Case questions</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bCs/>
        </w:rPr>
      </w:pPr>
      <w:r w:rsidRPr="001F7CCB">
        <w:rPr>
          <w:bCs/>
        </w:rPr>
        <w:t>1. What benefits does the presence of a company like Siemens bring to the host country?</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bCs/>
        </w:rPr>
      </w:pP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bCs/>
        </w:rPr>
      </w:pPr>
      <w:r w:rsidRPr="001F7CCB">
        <w:rPr>
          <w:bCs/>
        </w:rPr>
        <w:t>2. Research the risks facing Siemens in its involvement in each of the BRIC economies</w:t>
      </w:r>
    </w:p>
    <w:p w:rsidR="0039257B" w:rsidRPr="001F7CCB" w:rsidRDefault="0039257B" w:rsidP="005C7413">
      <w:pPr>
        <w:pBdr>
          <w:top w:val="single" w:sz="4" w:space="1" w:color="auto"/>
          <w:left w:val="single" w:sz="4" w:space="0" w:color="auto"/>
          <w:bottom w:val="single" w:sz="4" w:space="1" w:color="auto"/>
          <w:right w:val="single" w:sz="4" w:space="1" w:color="auto"/>
        </w:pBdr>
        <w:spacing w:line="360" w:lineRule="auto"/>
        <w:rPr>
          <w:bCs/>
        </w:rPr>
      </w:pPr>
    </w:p>
    <w:p w:rsidR="0039257B" w:rsidRPr="005C7413" w:rsidRDefault="0039257B" w:rsidP="005C7413">
      <w:pPr>
        <w:pBdr>
          <w:top w:val="single" w:sz="4" w:space="1" w:color="auto"/>
          <w:left w:val="single" w:sz="4" w:space="0" w:color="auto"/>
          <w:bottom w:val="single" w:sz="4" w:space="1" w:color="auto"/>
          <w:right w:val="single" w:sz="4" w:space="1" w:color="auto"/>
        </w:pBdr>
        <w:spacing w:line="360" w:lineRule="auto"/>
        <w:rPr>
          <w:bCs/>
        </w:rPr>
      </w:pPr>
      <w:r w:rsidRPr="001F7CCB">
        <w:rPr>
          <w:bCs/>
        </w:rPr>
        <w:t>3. Choose another European multinational and research its involvement in one of the BRIC markets. What are the attractions of that market for it and what obstacles/risks does it face?</w:t>
      </w:r>
      <w:r>
        <w:rPr>
          <w:bCs/>
        </w:rPr>
        <w:t xml:space="preserve"> </w:t>
      </w:r>
    </w:p>
    <w:p w:rsidR="0039257B" w:rsidRDefault="0039257B">
      <w:pPr>
        <w:sectPr w:rsidR="0039257B">
          <w:pgSz w:w="11906" w:h="16838"/>
          <w:pgMar w:top="1440" w:right="1440" w:bottom="1440" w:left="1440" w:header="708" w:footer="708" w:gutter="0"/>
          <w:cols w:space="708"/>
          <w:docGrid w:linePitch="360"/>
        </w:sectPr>
      </w:pPr>
    </w:p>
    <w:p w:rsidR="00A90F82" w:rsidRDefault="00A90F82"/>
    <w:sectPr w:rsidR="00A90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34EE2"/>
    <w:multiLevelType w:val="hybridMultilevel"/>
    <w:tmpl w:val="B032FF96"/>
    <w:lvl w:ilvl="0" w:tplc="C9EE5EA0">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17"/>
    <w:rsid w:val="00017217"/>
    <w:rsid w:val="000C190D"/>
    <w:rsid w:val="000C50DA"/>
    <w:rsid w:val="0039257B"/>
    <w:rsid w:val="004F3C0C"/>
    <w:rsid w:val="005C7413"/>
    <w:rsid w:val="00A90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257B"/>
    <w:pPr>
      <w:keepNext/>
      <w:spacing w:before="240" w:after="60"/>
      <w:outlineLvl w:val="0"/>
    </w:pPr>
    <w:rPr>
      <w:rFonts w:asciiTheme="majorHAnsi" w:eastAsiaTheme="majorEastAsia" w:hAnsiTheme="majorHAnsi" w:cstheme="majorBidi"/>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B"/>
    <w:rPr>
      <w:rFonts w:asciiTheme="majorHAnsi" w:eastAsiaTheme="majorEastAsia" w:hAnsiTheme="majorHAnsi" w:cstheme="majorBidi"/>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257B"/>
    <w:pPr>
      <w:keepNext/>
      <w:spacing w:before="240" w:after="60"/>
      <w:outlineLvl w:val="0"/>
    </w:pPr>
    <w:rPr>
      <w:rFonts w:asciiTheme="majorHAnsi" w:eastAsiaTheme="majorEastAsia" w:hAnsiTheme="majorHAnsi" w:cstheme="majorBidi"/>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B"/>
    <w:rPr>
      <w:rFonts w:asciiTheme="majorHAnsi" w:eastAsiaTheme="majorEastAsia" w:hAnsiTheme="majorHAnsi" w:cstheme="majorBidi"/>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1787</Words>
  <Characters>10188</Characters>
  <Application>Microsoft Office Word</Application>
  <DocSecurity>0</DocSecurity>
  <Lines>84</Lines>
  <Paragraphs>23</Paragraphs>
  <ScaleCrop>false</ScaleCrop>
  <Company>Informa PLC</Company>
  <LinksUpToDate>false</LinksUpToDate>
  <CharactersWithSpaces>11952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Waldron, Sinead</dc:creator>
  <cp:lastModifiedBy>Waldron, Sinead</cp:lastModifiedBy>
  <cp:revision>3</cp:revision>
  <dcterms:created xsi:type="dcterms:W3CDTF">2015-09-18T11:16:00Z</dcterms:created>
  <dcterms:modified xsi:type="dcterms:W3CDTF">2015-09-18T11:17:00Z</dcterms:modified>
</cp:coreProperties>
</file>