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811" w:rsidRPr="00BA007F" w:rsidRDefault="00345811" w:rsidP="006F03B5">
      <w:pPr>
        <w:pStyle w:val="Heading1"/>
      </w:pPr>
      <w:r w:rsidRPr="00BA007F">
        <w:t>Case study 7.1: The EU’s raw materials strategy</w:t>
      </w:r>
    </w:p>
    <w:p w:rsidR="00345811" w:rsidRPr="00BA007F" w:rsidRDefault="00345811" w:rsidP="000710F4">
      <w:pPr>
        <w:pBdr>
          <w:top w:val="single" w:sz="4" w:space="1" w:color="auto"/>
          <w:left w:val="single" w:sz="4" w:space="4" w:color="auto"/>
          <w:bottom w:val="single" w:sz="4" w:space="1" w:color="auto"/>
          <w:right w:val="single" w:sz="4" w:space="4" w:color="auto"/>
        </w:pBdr>
        <w:spacing w:line="360" w:lineRule="auto"/>
      </w:pPr>
    </w:p>
    <w:p w:rsidR="00345811" w:rsidRPr="00BA007F" w:rsidRDefault="00345811" w:rsidP="000710F4">
      <w:pPr>
        <w:pBdr>
          <w:top w:val="single" w:sz="4" w:space="1" w:color="auto"/>
          <w:left w:val="single" w:sz="4" w:space="4" w:color="auto"/>
          <w:bottom w:val="single" w:sz="4" w:space="1" w:color="auto"/>
          <w:right w:val="single" w:sz="4" w:space="4" w:color="auto"/>
        </w:pBdr>
        <w:spacing w:line="360" w:lineRule="auto"/>
      </w:pPr>
      <w:r w:rsidRPr="00BA007F">
        <w:t xml:space="preserve">Ensuring a secure and reliable supply of raw materials is paramount for the well-being of a wide range of industries. The EU itself is a major supplier of gypsum and natural stone and is largely self-sufficient in construction materials. The EU is also one of the world’s largest producers of certain industrial minerals.  However, the EU is heavily dependent upon the imports of primary and secondary (i.e. recycled) raw materials and high tech metals.  This is not only a European issue but also a global one and has driven the EU’s raw material initiative which attempts to address issues of common concern regarding the management of these matters at the European level. </w:t>
      </w:r>
    </w:p>
    <w:p w:rsidR="00345811" w:rsidRPr="00BA007F" w:rsidRDefault="00345811" w:rsidP="000710F4">
      <w:pPr>
        <w:pBdr>
          <w:top w:val="single" w:sz="4" w:space="1" w:color="auto"/>
          <w:left w:val="single" w:sz="4" w:space="4" w:color="auto"/>
          <w:bottom w:val="single" w:sz="4" w:space="1" w:color="auto"/>
          <w:right w:val="single" w:sz="4" w:space="4" w:color="auto"/>
        </w:pBdr>
        <w:spacing w:line="360" w:lineRule="auto"/>
      </w:pPr>
    </w:p>
    <w:p w:rsidR="00345811" w:rsidRPr="00BA007F" w:rsidRDefault="00345811" w:rsidP="000710F4">
      <w:pPr>
        <w:pBdr>
          <w:top w:val="single" w:sz="4" w:space="1" w:color="auto"/>
          <w:left w:val="single" w:sz="4" w:space="4" w:color="auto"/>
          <w:bottom w:val="single" w:sz="4" w:space="1" w:color="auto"/>
          <w:right w:val="single" w:sz="4" w:space="4" w:color="auto"/>
        </w:pBdr>
        <w:spacing w:line="360" w:lineRule="auto"/>
      </w:pPr>
      <w:r w:rsidRPr="00BA007F">
        <w:t xml:space="preserve">The initiative identifies the raw materials that are critical for the European economy based on their economic impact and importance, on the high risks associated with their supply and on the lack of available substitutes. In 2010, an initial critical list was drawn up consisting of </w:t>
      </w:r>
      <w:r>
        <w:t>14</w:t>
      </w:r>
      <w:r w:rsidRPr="00BA007F">
        <w:t xml:space="preserve"> non-energy, non-agricultural critical materials. This exercise was repeated in 2013 when a further six materials were added to the list on similar grounds. The </w:t>
      </w:r>
      <w:r>
        <w:t>20</w:t>
      </w:r>
      <w:r w:rsidRPr="00BA007F">
        <w:t xml:space="preserve"> critical raw materials are set out in Table 7.1.</w:t>
      </w:r>
    </w:p>
    <w:p w:rsidR="00345811" w:rsidRPr="00BA007F" w:rsidRDefault="00345811" w:rsidP="000710F4">
      <w:pPr>
        <w:pBdr>
          <w:top w:val="single" w:sz="4" w:space="1" w:color="auto"/>
          <w:left w:val="single" w:sz="4" w:space="4" w:color="auto"/>
          <w:bottom w:val="single" w:sz="4" w:space="1" w:color="auto"/>
          <w:right w:val="single" w:sz="4" w:space="4" w:color="auto"/>
        </w:pBdr>
        <w:spacing w:line="360" w:lineRule="auto"/>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345811" w:rsidRPr="00BA007F" w:rsidTr="00BB239C">
        <w:tc>
          <w:tcPr>
            <w:tcW w:w="9242" w:type="dxa"/>
            <w:gridSpan w:val="4"/>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 xml:space="preserve">Table 7.1: The </w:t>
            </w:r>
            <w:r>
              <w:t>20</w:t>
            </w:r>
            <w:r w:rsidRPr="00BA007F">
              <w:t xml:space="preserve"> critical materials</w:t>
            </w:r>
          </w:p>
        </w:tc>
      </w:tr>
      <w:tr w:rsidR="00345811" w:rsidRPr="00BA007F" w:rsidTr="00BB239C">
        <w:tc>
          <w:tcPr>
            <w:tcW w:w="2310"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Antimony</w:t>
            </w:r>
          </w:p>
        </w:tc>
        <w:tc>
          <w:tcPr>
            <w:tcW w:w="2310"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Phosphate rock</w:t>
            </w:r>
          </w:p>
        </w:tc>
        <w:tc>
          <w:tcPr>
            <w:tcW w:w="2311"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Magnesite</w:t>
            </w:r>
          </w:p>
        </w:tc>
        <w:tc>
          <w:tcPr>
            <w:tcW w:w="2311"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Coking coal</w:t>
            </w:r>
          </w:p>
        </w:tc>
      </w:tr>
      <w:tr w:rsidR="00345811" w:rsidRPr="00BA007F" w:rsidTr="00BB239C">
        <w:tc>
          <w:tcPr>
            <w:tcW w:w="2310"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Gallium</w:t>
            </w:r>
          </w:p>
        </w:tc>
        <w:tc>
          <w:tcPr>
            <w:tcW w:w="2310"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Borates</w:t>
            </w:r>
          </w:p>
        </w:tc>
        <w:tc>
          <w:tcPr>
            <w:tcW w:w="2311"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REEs (light)</w:t>
            </w:r>
          </w:p>
        </w:tc>
        <w:tc>
          <w:tcPr>
            <w:tcW w:w="2311"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Natural graphite</w:t>
            </w:r>
          </w:p>
        </w:tc>
      </w:tr>
      <w:tr w:rsidR="00345811" w:rsidRPr="00BA007F" w:rsidTr="00BB239C">
        <w:tc>
          <w:tcPr>
            <w:tcW w:w="2310"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PGMs</w:t>
            </w:r>
          </w:p>
        </w:tc>
        <w:tc>
          <w:tcPr>
            <w:tcW w:w="2310"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Indium</w:t>
            </w:r>
          </w:p>
        </w:tc>
        <w:tc>
          <w:tcPr>
            <w:tcW w:w="2311"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Cobalt</w:t>
            </w:r>
          </w:p>
        </w:tc>
        <w:tc>
          <w:tcPr>
            <w:tcW w:w="2311"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Tungsten</w:t>
            </w:r>
          </w:p>
        </w:tc>
      </w:tr>
      <w:tr w:rsidR="00345811" w:rsidRPr="00BA007F" w:rsidTr="00BB239C">
        <w:tc>
          <w:tcPr>
            <w:tcW w:w="2310"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Beryllium</w:t>
            </w:r>
          </w:p>
        </w:tc>
        <w:tc>
          <w:tcPr>
            <w:tcW w:w="2310"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REEs (heavy)</w:t>
            </w:r>
          </w:p>
        </w:tc>
        <w:tc>
          <w:tcPr>
            <w:tcW w:w="2311"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Magnesium</w:t>
            </w:r>
          </w:p>
        </w:tc>
        <w:tc>
          <w:tcPr>
            <w:tcW w:w="2311"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Fluorspar</w:t>
            </w:r>
          </w:p>
        </w:tc>
      </w:tr>
      <w:tr w:rsidR="00345811" w:rsidRPr="00BA007F" w:rsidTr="00BB239C">
        <w:tc>
          <w:tcPr>
            <w:tcW w:w="2310"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Germanium</w:t>
            </w:r>
          </w:p>
        </w:tc>
        <w:tc>
          <w:tcPr>
            <w:tcW w:w="2310"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Chromium</w:t>
            </w:r>
          </w:p>
        </w:tc>
        <w:tc>
          <w:tcPr>
            <w:tcW w:w="2311"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Silicon metal</w:t>
            </w:r>
          </w:p>
        </w:tc>
        <w:tc>
          <w:tcPr>
            <w:tcW w:w="2311" w:type="dxa"/>
            <w:shd w:val="clear" w:color="auto" w:fill="auto"/>
          </w:tcPr>
          <w:p w:rsidR="00345811" w:rsidRPr="00BA007F" w:rsidRDefault="00345811" w:rsidP="00BB239C">
            <w:pPr>
              <w:pBdr>
                <w:top w:val="single" w:sz="4" w:space="1" w:color="auto"/>
                <w:left w:val="single" w:sz="4" w:space="4" w:color="auto"/>
                <w:bottom w:val="single" w:sz="4" w:space="1" w:color="auto"/>
                <w:right w:val="single" w:sz="4" w:space="4" w:color="auto"/>
              </w:pBdr>
              <w:spacing w:line="360" w:lineRule="auto"/>
            </w:pPr>
            <w:r w:rsidRPr="00BA007F">
              <w:t>Niobium</w:t>
            </w:r>
          </w:p>
        </w:tc>
      </w:tr>
    </w:tbl>
    <w:p w:rsidR="00345811" w:rsidRDefault="00345811" w:rsidP="000710F4"/>
    <w:p w:rsidR="00345811" w:rsidRDefault="00345811" w:rsidP="000710F4">
      <w:pPr>
        <w:pBdr>
          <w:top w:val="single" w:sz="4" w:space="1" w:color="auto"/>
          <w:left w:val="single" w:sz="4" w:space="4" w:color="auto"/>
          <w:bottom w:val="single" w:sz="4" w:space="1" w:color="auto"/>
          <w:right w:val="single" w:sz="4" w:space="4" w:color="auto"/>
        </w:pBdr>
        <w:spacing w:line="360" w:lineRule="auto"/>
      </w:pPr>
    </w:p>
    <w:p w:rsidR="00345811" w:rsidRPr="00BA007F" w:rsidRDefault="00345811" w:rsidP="000710F4">
      <w:pPr>
        <w:pBdr>
          <w:top w:val="single" w:sz="4" w:space="1" w:color="auto"/>
          <w:left w:val="single" w:sz="4" w:space="4" w:color="auto"/>
          <w:bottom w:val="single" w:sz="4" w:space="1" w:color="auto"/>
          <w:right w:val="single" w:sz="4" w:space="4" w:color="auto"/>
        </w:pBdr>
        <w:spacing w:line="360" w:lineRule="auto"/>
      </w:pPr>
      <w:r w:rsidRPr="00BA007F">
        <w:t xml:space="preserve"> </w:t>
      </w:r>
    </w:p>
    <w:p w:rsidR="00345811" w:rsidRPr="00BA007F" w:rsidRDefault="00345811" w:rsidP="000710F4">
      <w:pPr>
        <w:pBdr>
          <w:top w:val="single" w:sz="4" w:space="1" w:color="auto"/>
          <w:left w:val="single" w:sz="4" w:space="4" w:color="auto"/>
          <w:bottom w:val="single" w:sz="4" w:space="1" w:color="auto"/>
          <w:right w:val="single" w:sz="4" w:space="4" w:color="auto"/>
        </w:pBdr>
        <w:spacing w:line="360" w:lineRule="auto"/>
      </w:pPr>
      <w:r w:rsidRPr="00BA007F">
        <w:t>Whil</w:t>
      </w:r>
      <w:r>
        <w:t>e</w:t>
      </w:r>
      <w:r w:rsidRPr="00BA007F">
        <w:t xml:space="preserve"> there may be problems regarding the methodology used in compiling this list, it is worth stressing that all raw materials are important for business and that non-appearance of a particular material on the list does not diminish its importance for the economic performance of the European economy. It is also worth noting that the list itself is likely to change as political and economic events lead to shifts in economic priorities and/or supply risk. Of the 54 materials analysed, around 90 per cent, notably many base, speciality and precious metals and rubber, are sourced from outside the EU. China is the major supplier of many of these materials but Russia and South Africa are also important, especially for the platinum group of materials. Supply from EU sources of the </w:t>
      </w:r>
      <w:r>
        <w:t>20</w:t>
      </w:r>
      <w:r w:rsidRPr="00BA007F">
        <w:t xml:space="preserve"> critical raw material listed in Table 7.1 is severely limited.  </w:t>
      </w:r>
    </w:p>
    <w:p w:rsidR="00345811" w:rsidRPr="00BA007F" w:rsidRDefault="00345811" w:rsidP="000710F4">
      <w:pPr>
        <w:pBdr>
          <w:top w:val="single" w:sz="4" w:space="1" w:color="auto"/>
          <w:left w:val="single" w:sz="4" w:space="4" w:color="auto"/>
          <w:bottom w:val="single" w:sz="4" w:space="1" w:color="auto"/>
          <w:right w:val="single" w:sz="4" w:space="4" w:color="auto"/>
        </w:pBdr>
        <w:spacing w:line="360" w:lineRule="auto"/>
      </w:pPr>
    </w:p>
    <w:p w:rsidR="00345811" w:rsidRPr="00BA007F" w:rsidRDefault="00345811" w:rsidP="000710F4">
      <w:pPr>
        <w:pBdr>
          <w:top w:val="single" w:sz="4" w:space="1" w:color="auto"/>
          <w:left w:val="single" w:sz="4" w:space="4" w:color="auto"/>
          <w:bottom w:val="single" w:sz="4" w:space="1" w:color="auto"/>
          <w:right w:val="single" w:sz="4" w:space="4" w:color="auto"/>
        </w:pBdr>
        <w:spacing w:line="360" w:lineRule="auto"/>
      </w:pPr>
      <w:r w:rsidRPr="00BA007F">
        <w:t>It is expected that in the long term, market forces will create the conditions for new mining and recycling projects globally and the EU wants to ensure that such processes do not undermine access to these raw materials but improve it.  However the EU does face serious challenges when addressing these issues in global markets, namely:</w:t>
      </w:r>
    </w:p>
    <w:p w:rsidR="00345811" w:rsidRPr="00BA007F" w:rsidRDefault="00345811" w:rsidP="00345811">
      <w:pPr>
        <w:numPr>
          <w:ilvl w:val="0"/>
          <w:numId w:val="1"/>
        </w:numPr>
        <w:pBdr>
          <w:top w:val="single" w:sz="4" w:space="1" w:color="auto"/>
          <w:left w:val="single" w:sz="4" w:space="4" w:color="auto"/>
          <w:bottom w:val="single" w:sz="4" w:space="1" w:color="auto"/>
          <w:right w:val="single" w:sz="4" w:space="4" w:color="auto"/>
        </w:pBdr>
        <w:spacing w:line="360" w:lineRule="auto"/>
      </w:pPr>
      <w:r w:rsidRPr="00BA007F">
        <w:t>the availability and price development of raw materials which can radically alter EU access to these commodities;</w:t>
      </w:r>
    </w:p>
    <w:p w:rsidR="00345811" w:rsidRPr="00BA007F" w:rsidRDefault="00345811" w:rsidP="00345811">
      <w:pPr>
        <w:pStyle w:val="ListParagraph"/>
        <w:numPr>
          <w:ilvl w:val="0"/>
          <w:numId w:val="1"/>
        </w:numPr>
        <w:pBdr>
          <w:top w:val="single" w:sz="4" w:space="1" w:color="auto"/>
          <w:left w:val="single" w:sz="4" w:space="4" w:color="auto"/>
          <w:bottom w:val="single" w:sz="4" w:space="1" w:color="auto"/>
          <w:right w:val="single" w:sz="4" w:space="4" w:color="auto"/>
        </w:pBdr>
        <w:spacing w:line="360" w:lineRule="auto"/>
        <w:rPr>
          <w:rFonts w:ascii="Times New Roman" w:hAnsi="Times New Roman"/>
          <w:sz w:val="24"/>
          <w:szCs w:val="24"/>
        </w:rPr>
      </w:pPr>
      <w:r w:rsidRPr="00BA007F">
        <w:rPr>
          <w:rFonts w:ascii="Times New Roman" w:hAnsi="Times New Roman"/>
          <w:sz w:val="24"/>
          <w:szCs w:val="24"/>
        </w:rPr>
        <w:t>new industrial strategies and the risks of dysfunctional global markets which together can combine to cause an increase in demand for these products but also restrict supply.</w:t>
      </w:r>
    </w:p>
    <w:p w:rsidR="00345811" w:rsidRPr="00BA007F" w:rsidRDefault="00345811" w:rsidP="000710F4">
      <w:pPr>
        <w:pBdr>
          <w:top w:val="single" w:sz="4" w:space="1" w:color="auto"/>
          <w:left w:val="single" w:sz="4" w:space="4" w:color="auto"/>
          <w:bottom w:val="single" w:sz="4" w:space="1" w:color="auto"/>
          <w:right w:val="single" w:sz="4" w:space="4" w:color="auto"/>
        </w:pBdr>
        <w:spacing w:line="360" w:lineRule="auto"/>
      </w:pPr>
      <w:r w:rsidRPr="00BA007F">
        <w:t>In response to these vulnerabilities in its economy, in 2014 the EU launched a raw material initiative (following similar initiatives from Japan and the US) based on three themes:</w:t>
      </w: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i/>
          <w:sz w:val="24"/>
          <w:szCs w:val="24"/>
        </w:rPr>
      </w:pP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i/>
          <w:sz w:val="24"/>
          <w:szCs w:val="24"/>
        </w:rPr>
      </w:pPr>
      <w:r w:rsidRPr="00BA007F">
        <w:rPr>
          <w:rFonts w:ascii="Times New Roman" w:hAnsi="Times New Roman"/>
          <w:i/>
          <w:sz w:val="24"/>
          <w:szCs w:val="24"/>
        </w:rPr>
        <w:t xml:space="preserve">1.Ensure access to raw materials sources from international markets on identical conditions to those available to the EU’s main rivals. </w:t>
      </w: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i/>
          <w:sz w:val="24"/>
          <w:szCs w:val="24"/>
        </w:rPr>
      </w:pPr>
      <w:r w:rsidRPr="00BA007F">
        <w:rPr>
          <w:rFonts w:ascii="Times New Roman" w:hAnsi="Times New Roman"/>
          <w:sz w:val="24"/>
          <w:szCs w:val="24"/>
        </w:rPr>
        <w:t>This aspect of the strategy necessarily involves active participation by the EU in materials diplomacy to achieve better security of supply. This will require enhanced international co-ordination in established international organisations (such as the G-8 and the OECD) to explore opportunities for co-operation for mutual security of supply. These measures will need to be supported by action in EU trade, regulatory and development policies. In the former two, the EU should seek to limit trade distortions in the supply of these materials and in the latter to co-ordinate access to materials with development aid and support to both strengthen states and promote a sound investment climate and sustainable management of resources.</w:t>
      </w: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i/>
          <w:sz w:val="24"/>
          <w:szCs w:val="24"/>
        </w:rPr>
      </w:pP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sz w:val="24"/>
          <w:szCs w:val="24"/>
        </w:rPr>
      </w:pPr>
      <w:r w:rsidRPr="00BA007F">
        <w:rPr>
          <w:rFonts w:ascii="Times New Roman" w:hAnsi="Times New Roman"/>
          <w:i/>
          <w:sz w:val="24"/>
          <w:szCs w:val="24"/>
        </w:rPr>
        <w:t>2. Establish the necessary framework conditions to ensure secure supply of raw materials from indigenous EU sources.</w:t>
      </w:r>
      <w:r w:rsidRPr="00BA007F">
        <w:rPr>
          <w:rFonts w:ascii="Times New Roman" w:hAnsi="Times New Roman"/>
          <w:sz w:val="24"/>
          <w:szCs w:val="24"/>
        </w:rPr>
        <w:t xml:space="preserve">  </w:t>
      </w: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i/>
          <w:sz w:val="24"/>
          <w:szCs w:val="24"/>
        </w:rPr>
      </w:pPr>
      <w:r w:rsidRPr="00BA007F">
        <w:rPr>
          <w:rFonts w:ascii="Times New Roman" w:hAnsi="Times New Roman"/>
          <w:sz w:val="24"/>
          <w:szCs w:val="24"/>
        </w:rPr>
        <w:t xml:space="preserve">This theme depends on establishing the right framework conditions by ensuring access to land through streamlining administrative conditions to manage competing land uses and by speeding up the issue of relevant permits. Integral to this is better knowledge of resource availability within the EU based on more effective geological surveys and the support – through research programmes  - of methods to enhance extraction and processing. This will be supported by action on cohesion policy where themes overlap and by promoting and addressing skills shortages and an awareness </w:t>
      </w:r>
      <w:r>
        <w:t>among</w:t>
      </w:r>
      <w:r w:rsidRPr="00BA007F">
        <w:rPr>
          <w:rFonts w:ascii="Times New Roman" w:hAnsi="Times New Roman"/>
          <w:sz w:val="24"/>
          <w:szCs w:val="24"/>
        </w:rPr>
        <w:t xml:space="preserve"> the public of these materials.</w:t>
      </w: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i/>
          <w:sz w:val="24"/>
          <w:szCs w:val="24"/>
        </w:rPr>
      </w:pP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sz w:val="24"/>
          <w:szCs w:val="24"/>
        </w:rPr>
      </w:pPr>
      <w:r w:rsidRPr="00BA007F">
        <w:rPr>
          <w:rFonts w:ascii="Times New Roman" w:hAnsi="Times New Roman"/>
          <w:i/>
          <w:sz w:val="24"/>
          <w:szCs w:val="24"/>
        </w:rPr>
        <w:t>3.Generate increased efficiency in the use and recycling of these materials as a means of lowering the EU’s consumption of these materials, thereby reducing import dependency.</w:t>
      </w:r>
      <w:r w:rsidRPr="00BA007F">
        <w:rPr>
          <w:rFonts w:ascii="Times New Roman" w:hAnsi="Times New Roman"/>
          <w:sz w:val="24"/>
          <w:szCs w:val="24"/>
        </w:rPr>
        <w:t xml:space="preserve"> </w:t>
      </w: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i/>
          <w:sz w:val="24"/>
          <w:szCs w:val="24"/>
        </w:rPr>
      </w:pPr>
      <w:r w:rsidRPr="00BA007F">
        <w:rPr>
          <w:rFonts w:ascii="Times New Roman" w:hAnsi="Times New Roman"/>
          <w:sz w:val="24"/>
          <w:szCs w:val="24"/>
        </w:rPr>
        <w:t xml:space="preserve">This theme aims to spread awareness and implementation of resources efficiency in the use of these materials. It also focuses on increasing the production and consumption of resource efficient products as well as the more extensive promotion and usage of recycled materials.   Achieving these objectives means working with third countries to ensure waste is treated in a manner compliant with EU objectives. </w:t>
      </w: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b/>
          <w:sz w:val="24"/>
          <w:szCs w:val="24"/>
        </w:rPr>
      </w:pP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b/>
          <w:sz w:val="24"/>
          <w:szCs w:val="24"/>
        </w:rPr>
      </w:pPr>
      <w:r w:rsidRPr="00BA007F">
        <w:rPr>
          <w:rFonts w:ascii="Times New Roman" w:hAnsi="Times New Roman"/>
          <w:b/>
          <w:sz w:val="24"/>
          <w:szCs w:val="24"/>
        </w:rPr>
        <w:t>Case question</w:t>
      </w: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sz w:val="24"/>
          <w:szCs w:val="24"/>
        </w:rPr>
      </w:pPr>
    </w:p>
    <w:p w:rsidR="00345811" w:rsidRPr="00BA007F" w:rsidRDefault="00345811" w:rsidP="000710F4">
      <w:pPr>
        <w:pStyle w:val="ListParagraph"/>
        <w:pBdr>
          <w:top w:val="single" w:sz="4" w:space="1" w:color="auto"/>
          <w:left w:val="single" w:sz="4" w:space="4" w:color="auto"/>
          <w:bottom w:val="single" w:sz="4" w:space="1" w:color="auto"/>
          <w:right w:val="single" w:sz="4" w:space="4" w:color="auto"/>
        </w:pBdr>
        <w:spacing w:line="360" w:lineRule="auto"/>
        <w:ind w:left="0"/>
        <w:rPr>
          <w:rFonts w:ascii="Times New Roman" w:hAnsi="Times New Roman"/>
          <w:sz w:val="24"/>
          <w:szCs w:val="24"/>
        </w:rPr>
      </w:pPr>
      <w:r w:rsidRPr="00BA007F">
        <w:rPr>
          <w:rFonts w:ascii="Times New Roman" w:hAnsi="Times New Roman"/>
          <w:sz w:val="24"/>
          <w:szCs w:val="24"/>
        </w:rPr>
        <w:t>Working in groups, chose one of the materials on the list in Table 7.1 and assess the political and economic risks faced by its consumption.</w:t>
      </w:r>
    </w:p>
    <w:p w:rsidR="00345811" w:rsidRDefault="00345811">
      <w:pPr>
        <w:sectPr w:rsidR="00345811">
          <w:pgSz w:w="11906" w:h="16838"/>
          <w:pgMar w:top="1440" w:right="1440" w:bottom="1440" w:left="1440" w:header="708" w:footer="708" w:gutter="0"/>
          <w:cols w:space="708"/>
          <w:docGrid w:linePitch="360"/>
        </w:sectPr>
      </w:pPr>
    </w:p>
    <w:p w:rsidR="007C3114" w:rsidRDefault="007C3114"/>
    <w:sectPr w:rsidR="007C31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A4C27"/>
    <w:multiLevelType w:val="hybridMultilevel"/>
    <w:tmpl w:val="68F87C1E"/>
    <w:lvl w:ilvl="0" w:tplc="D4E4F112">
      <w:start w:val="7"/>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F4"/>
    <w:rsid w:val="000710F4"/>
    <w:rsid w:val="00345811"/>
    <w:rsid w:val="005A092E"/>
    <w:rsid w:val="005D70CB"/>
    <w:rsid w:val="007C3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0F4"/>
    <w:pPr>
      <w:spacing w:after="0" w:line="240" w:lineRule="auto"/>
    </w:pPr>
    <w:rPr>
      <w:rFonts w:ascii="Times New Roman" w:eastAsia="Times New Roman" w:hAnsi="Times New Roman" w:cs="Times New Roman"/>
      <w:sz w:val="24"/>
      <w:szCs w:val="24"/>
      <w:lang w:val="en-US" w:eastAsia="zh-CN"/>
    </w:rPr>
  </w:style>
  <w:style w:type="paragraph" w:styleId="Heading1">
    <w:name w:val="heading 1"/>
    <w:basedOn w:val="Normal"/>
    <w:next w:val="Normal"/>
    <w:link w:val="Heading1Char"/>
    <w:uiPriority w:val="9"/>
    <w:qFormat/>
    <w:rsid w:val="00345811"/>
    <w:pPr>
      <w:keepNext/>
      <w:spacing w:before="240" w:after="60"/>
      <w:outlineLvl w:val="0"/>
    </w:pPr>
    <w:rPr>
      <w:rFonts w:asciiTheme="majorHAnsi" w:eastAsiaTheme="majorEastAsia" w:hAnsiTheme="majorHAnsi" w:cstheme="majorBidi"/>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0F4"/>
    <w:pPr>
      <w:spacing w:after="200" w:line="276" w:lineRule="auto"/>
      <w:ind w:left="720"/>
      <w:contextualSpacing/>
    </w:pPr>
    <w:rPr>
      <w:rFonts w:ascii="Calibri" w:eastAsia="Calibri" w:hAnsi="Calibri"/>
      <w:sz w:val="22"/>
      <w:szCs w:val="22"/>
      <w:lang w:val="en-GB" w:eastAsia="en-US"/>
    </w:rPr>
  </w:style>
  <w:style w:type="character" w:customStyle="1" w:styleId="Heading1Char">
    <w:name w:val="Heading 1 Char"/>
    <w:basedOn w:val="DefaultParagraphFont"/>
    <w:link w:val="Heading1"/>
    <w:uiPriority w:val="9"/>
    <w:rsid w:val="00345811"/>
    <w:rPr>
      <w:rFonts w:asciiTheme="majorHAnsi" w:eastAsiaTheme="majorEastAsia" w:hAnsiTheme="majorHAnsi" w:cstheme="majorBidi"/>
      <w:b/>
      <w:bCs/>
      <w:kern w:val="32"/>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0F4"/>
    <w:pPr>
      <w:spacing w:after="0" w:line="240" w:lineRule="auto"/>
    </w:pPr>
    <w:rPr>
      <w:rFonts w:ascii="Times New Roman" w:eastAsia="Times New Roman" w:hAnsi="Times New Roman" w:cs="Times New Roman"/>
      <w:sz w:val="24"/>
      <w:szCs w:val="24"/>
      <w:lang w:val="en-US" w:eastAsia="zh-CN"/>
    </w:rPr>
  </w:style>
  <w:style w:type="paragraph" w:styleId="Heading1">
    <w:name w:val="heading 1"/>
    <w:basedOn w:val="Normal"/>
    <w:next w:val="Normal"/>
    <w:link w:val="Heading1Char"/>
    <w:uiPriority w:val="9"/>
    <w:qFormat/>
    <w:rsid w:val="00345811"/>
    <w:pPr>
      <w:keepNext/>
      <w:spacing w:before="240" w:after="60"/>
      <w:outlineLvl w:val="0"/>
    </w:pPr>
    <w:rPr>
      <w:rFonts w:asciiTheme="majorHAnsi" w:eastAsiaTheme="majorEastAsia" w:hAnsiTheme="majorHAnsi" w:cstheme="majorBidi"/>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0F4"/>
    <w:pPr>
      <w:spacing w:after="200" w:line="276" w:lineRule="auto"/>
      <w:ind w:left="720"/>
      <w:contextualSpacing/>
    </w:pPr>
    <w:rPr>
      <w:rFonts w:ascii="Calibri" w:eastAsia="Calibri" w:hAnsi="Calibri"/>
      <w:sz w:val="22"/>
      <w:szCs w:val="22"/>
      <w:lang w:val="en-GB" w:eastAsia="en-US"/>
    </w:rPr>
  </w:style>
  <w:style w:type="character" w:customStyle="1" w:styleId="Heading1Char">
    <w:name w:val="Heading 1 Char"/>
    <w:basedOn w:val="DefaultParagraphFont"/>
    <w:link w:val="Heading1"/>
    <w:uiPriority w:val="9"/>
    <w:rsid w:val="00345811"/>
    <w:rPr>
      <w:rFonts w:asciiTheme="majorHAnsi" w:eastAsiaTheme="majorEastAsia" w:hAnsiTheme="majorHAnsi" w:cstheme="majorBidi"/>
      <w:b/>
      <w:bCs/>
      <w:kern w:val="32"/>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819</Words>
  <Characters>4669</Characters>
  <Application>Microsoft Office Word</Application>
  <DocSecurity>0</DocSecurity>
  <Lines>38</Lines>
  <Paragraphs>10</Paragraphs>
  <ScaleCrop>false</ScaleCrop>
  <Company>Informa PLC</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Waldron, Sinead</dc:creator>
  <cp:lastModifiedBy>Waldron, Sinead</cp:lastModifiedBy>
  <cp:revision>1</cp:revision>
  <dcterms:created xsi:type="dcterms:W3CDTF">2015-09-17T15:46:00Z</dcterms:created>
  <dcterms:modified xsi:type="dcterms:W3CDTF">2015-09-17T15:46:00Z</dcterms:modified>
</cp:coreProperties>
</file>