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92" w:rsidRDefault="003F3BEA" w:rsidP="00CA214A">
      <w:pPr>
        <w:pStyle w:val="NormalWeb"/>
        <w:spacing w:before="0" w:beforeAutospacing="0" w:after="0" w:afterAutospacing="0"/>
        <w:jc w:val="center"/>
        <w:rPr>
          <w:rFonts w:ascii="Calibri" w:hAnsi="Calibri"/>
          <w:sz w:val="34"/>
          <w:szCs w:val="34"/>
        </w:rPr>
      </w:pPr>
      <w:r>
        <w:rPr>
          <w:rFonts w:ascii="Calibri" w:hAnsi="Calibri"/>
          <w:sz w:val="34"/>
          <w:szCs w:val="34"/>
        </w:rPr>
        <w:t>Chapter 5 Practice Test</w:t>
      </w:r>
    </w:p>
    <w:p w:rsidR="00CA214A" w:rsidRDefault="00CA214A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7682CC"/>
          <w:sz w:val="27"/>
          <w:szCs w:val="27"/>
        </w:rPr>
      </w:pPr>
    </w:p>
    <w:p w:rsidR="002E3892" w:rsidRDefault="003F3BEA">
      <w:pPr>
        <w:pStyle w:val="NormalWeb"/>
        <w:spacing w:before="0" w:beforeAutospacing="0" w:after="0" w:afterAutospacing="0"/>
        <w:rPr>
          <w:rFonts w:ascii="Verdana" w:hAnsi="Verdana"/>
          <w:color w:val="7682CC"/>
          <w:sz w:val="27"/>
          <w:szCs w:val="27"/>
        </w:rPr>
      </w:pPr>
      <w:r>
        <w:rPr>
          <w:rFonts w:ascii="Verdana" w:hAnsi="Verdana"/>
          <w:b/>
          <w:bCs/>
          <w:color w:val="7682CC"/>
          <w:sz w:val="27"/>
          <w:szCs w:val="27"/>
        </w:rPr>
        <w:t>Chapter 5 Practice Test</w:t>
      </w:r>
    </w:p>
    <w:p w:rsidR="002E3892" w:rsidRDefault="003F3BE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8115"/>
        <w:gridCol w:w="439"/>
      </w:tblGrid>
      <w:tr w:rsidR="002E3892" w:rsidTr="00CA214A">
        <w:trPr>
          <w:divId w:val="201518528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05755562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A214A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 w:rsidP="00547511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Common infections that may lead to </w:t>
                  </w:r>
                  <w:r w:rsidR="0054751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CIDs 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include toxoplasmosis, rubella, cytomegalovirus, herpes, and syphilis.</w:t>
                  </w:r>
                </w:p>
              </w:tc>
            </w:tr>
            <w:tr w:rsidR="002E3892">
              <w:trPr>
                <w:divId w:val="105755562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114"/>
        <w:gridCol w:w="439"/>
      </w:tblGrid>
      <w:tr w:rsidR="002E3892" w:rsidTr="00CA214A">
        <w:trPr>
          <w:divId w:val="497769402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53742522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A214A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Toxoplasmosis may be congenital or acquired. It is a protozoic infection that may be carried in raw meat and cat feces.</w:t>
                  </w:r>
                </w:p>
              </w:tc>
            </w:tr>
            <w:tr w:rsidR="002E3892">
              <w:trPr>
                <w:divId w:val="153742522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8112"/>
        <w:gridCol w:w="439"/>
      </w:tblGrid>
      <w:tr w:rsidR="002E3892" w:rsidTr="00CA214A">
        <w:trPr>
          <w:divId w:val="1774738016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289899414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A214A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HIV infection</w:t>
                  </w:r>
                  <w:r>
                    <w:rPr>
                      <w:rFonts w:ascii="Verdana" w:hAnsi="Verdana"/>
                      <w:b/>
                      <w:bCs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 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in pregnant women is not passed onto a developing fetus after the first trimester.</w:t>
                  </w:r>
                </w:p>
              </w:tc>
            </w:tr>
            <w:tr w:rsidR="002E3892">
              <w:trPr>
                <w:divId w:val="1289899414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8112"/>
        <w:gridCol w:w="439"/>
      </w:tblGrid>
      <w:tr w:rsidR="002E3892" w:rsidTr="00CA214A">
        <w:trPr>
          <w:divId w:val="14812633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5410936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A214A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Drug and substance abuse during pregnancy represent major risk factors for embryos and fetuses only during the first trimester.</w:t>
                  </w:r>
                </w:p>
              </w:tc>
            </w:tr>
            <w:tr w:rsidR="002E3892">
              <w:trPr>
                <w:divId w:val="15410936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8113"/>
        <w:gridCol w:w="439"/>
      </w:tblGrid>
      <w:tr w:rsidR="002E3892" w:rsidTr="00CA214A">
        <w:trPr>
          <w:divId w:val="52737098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40746466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A214A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 w:rsidP="00547511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Rubella, especially when contracted by a child under 5 years of age, is associated with increased risks for </w:t>
                  </w:r>
                  <w:r w:rsidR="0054751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CIDs 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and other disabilities including congenital malformations of the heart, eye, and ear that may lead to heart disease, cataracts, and deafness.</w:t>
                  </w:r>
                </w:p>
              </w:tc>
            </w:tr>
            <w:tr w:rsidR="002E3892">
              <w:trPr>
                <w:divId w:val="40746466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8111"/>
        <w:gridCol w:w="439"/>
      </w:tblGrid>
      <w:tr w:rsidR="002E3892" w:rsidTr="00CA214A">
        <w:trPr>
          <w:divId w:val="1835336237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47275171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A214A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Anoxia refers to a lack of oxygen to tissues which can lead to damage or death.</w:t>
                  </w:r>
                </w:p>
              </w:tc>
            </w:tr>
            <w:tr w:rsidR="002E3892">
              <w:trPr>
                <w:divId w:val="147275171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8112"/>
        <w:gridCol w:w="439"/>
      </w:tblGrid>
      <w:tr w:rsidR="002E3892" w:rsidTr="00ED311D">
        <w:trPr>
          <w:divId w:val="93717790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433473654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ED311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An Apgar score is derived from five measures including heart rate, respiratory effort, muscle tone, gag reflex, and mother's age at time of delivery.</w:t>
                  </w:r>
                </w:p>
              </w:tc>
            </w:tr>
            <w:tr w:rsidR="002E3892">
              <w:trPr>
                <w:divId w:val="1433473654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8112"/>
        <w:gridCol w:w="439"/>
      </w:tblGrid>
      <w:tr w:rsidR="002E3892" w:rsidTr="00ED311D">
        <w:trPr>
          <w:divId w:val="10156951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78041837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ED311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Children born before 42 weeks gestation are considered premature.</w:t>
                  </w:r>
                </w:p>
              </w:tc>
            </w:tr>
            <w:tr w:rsidR="002E3892">
              <w:trPr>
                <w:divId w:val="178041837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115"/>
        <w:gridCol w:w="438"/>
      </w:tblGrid>
      <w:tr w:rsidR="002E3892" w:rsidTr="00ED311D">
        <w:trPr>
          <w:divId w:val="207207708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35010630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ED311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Jaundice or hyperbilirubinemia is caused by an excess of bilirubin in the bloodstream.</w:t>
                  </w:r>
                </w:p>
              </w:tc>
            </w:tr>
            <w:tr w:rsidR="002E3892">
              <w:trPr>
                <w:divId w:val="35010630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8112"/>
        <w:gridCol w:w="439"/>
      </w:tblGrid>
      <w:tr w:rsidR="002E3892" w:rsidTr="00ED311D">
        <w:trPr>
          <w:divId w:val="60890045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913931501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ED311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 w:rsidP="00547511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Two main causes of traumatic brain injury that may lead to </w:t>
                  </w:r>
                  <w:r w:rsidR="0054751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CIDs 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are abuse and accidents.</w:t>
                  </w:r>
                </w:p>
              </w:tc>
            </w:tr>
            <w:tr w:rsidR="002E3892">
              <w:trPr>
                <w:divId w:val="913931501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True</w:t>
                  </w:r>
                </w:p>
                <w:p w:rsidR="002E3892" w:rsidRDefault="003F3BEA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  <w:r>
                    <w:rPr>
                      <w:rFonts w:ascii="Verdana" w:hAnsi="Verdana"/>
                      <w:sz w:val="18"/>
                      <w:szCs w:val="18"/>
                      <w:shd w:val="clear" w:color="auto" w:fill="F5F3F3"/>
                    </w:rPr>
                    <w:t>False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114"/>
        <w:gridCol w:w="439"/>
      </w:tblGrid>
      <w:tr w:rsidR="002E3892" w:rsidTr="00ED311D">
        <w:trPr>
          <w:divId w:val="142425556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51573253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ED311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53534"/>
                      <w:sz w:val="20"/>
                      <w:szCs w:val="20"/>
                      <w:shd w:val="clear" w:color="auto" w:fill="F5F3F3"/>
                    </w:rPr>
                    <w:t>_______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 are any agents that cause a defect in a developing embryo/fetus.</w:t>
                  </w:r>
                </w:p>
              </w:tc>
            </w:tr>
            <w:tr w:rsidR="002E3892">
              <w:trPr>
                <w:divId w:val="51573253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04"/>
                  </w:tblGrid>
                  <w:tr w:rsidR="002E3892">
                    <w:trPr>
                      <w:divId w:val="1006515347"/>
                    </w:trPr>
                    <w:tc>
                      <w:tcPr>
                        <w:tcW w:w="19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Cytomegalovirus</w:t>
                        </w:r>
                      </w:p>
                    </w:tc>
                  </w:tr>
                  <w:tr w:rsidR="002E3892">
                    <w:trPr>
                      <w:divId w:val="1006515347"/>
                    </w:trPr>
                    <w:tc>
                      <w:tcPr>
                        <w:tcW w:w="19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Rubella</w:t>
                        </w:r>
                      </w:p>
                    </w:tc>
                  </w:tr>
                  <w:tr w:rsidR="002E3892">
                    <w:trPr>
                      <w:divId w:val="1006515347"/>
                    </w:trPr>
                    <w:tc>
                      <w:tcPr>
                        <w:tcW w:w="19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Toxoplasmosis</w:t>
                        </w:r>
                      </w:p>
                    </w:tc>
                  </w:tr>
                  <w:tr w:rsidR="002E3892">
                    <w:trPr>
                      <w:divId w:val="1006515347"/>
                    </w:trPr>
                    <w:tc>
                      <w:tcPr>
                        <w:tcW w:w="19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Teratogens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114"/>
        <w:gridCol w:w="439"/>
      </w:tblGrid>
      <w:tr w:rsidR="002E3892" w:rsidTr="00ED311D">
        <w:trPr>
          <w:divId w:val="140629879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63598862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ED311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 w:rsidP="00547511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Cytomegalovirus may lead to </w:t>
                  </w:r>
                  <w:r w:rsidR="0054751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CIDs 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in 1 in every ___________ births.</w:t>
                  </w:r>
                </w:p>
              </w:tc>
            </w:tr>
            <w:tr w:rsidR="002E3892">
              <w:trPr>
                <w:divId w:val="63598862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1"/>
                  </w:tblGrid>
                  <w:tr w:rsidR="002E3892">
                    <w:trPr>
                      <w:divId w:val="948120971"/>
                    </w:trPr>
                    <w:tc>
                      <w:tcPr>
                        <w:tcW w:w="10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600</w:t>
                        </w:r>
                      </w:p>
                    </w:tc>
                  </w:tr>
                  <w:tr w:rsidR="002E3892">
                    <w:trPr>
                      <w:divId w:val="948120971"/>
                    </w:trPr>
                    <w:tc>
                      <w:tcPr>
                        <w:tcW w:w="10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100</w:t>
                        </w:r>
                      </w:p>
                    </w:tc>
                  </w:tr>
                  <w:tr w:rsidR="002E3892">
                    <w:trPr>
                      <w:divId w:val="948120971"/>
                    </w:trPr>
                    <w:tc>
                      <w:tcPr>
                        <w:tcW w:w="10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400</w:t>
                        </w:r>
                      </w:p>
                    </w:tc>
                  </w:tr>
                  <w:tr w:rsidR="002E3892">
                    <w:trPr>
                      <w:divId w:val="948120971"/>
                    </w:trPr>
                    <w:tc>
                      <w:tcPr>
                        <w:tcW w:w="10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10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8117"/>
        <w:gridCol w:w="438"/>
      </w:tblGrid>
      <w:tr w:rsidR="002E3892" w:rsidTr="00ED311D">
        <w:trPr>
          <w:divId w:val="480927862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62446371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ED311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Perinatal causes for developing disabilities include all </w:t>
                  </w:r>
                  <w:r>
                    <w:rPr>
                      <w:rFonts w:ascii="Verdana" w:hAnsi="Verdana"/>
                      <w:b/>
                      <w:bCs/>
                      <w:color w:val="353534"/>
                      <w:sz w:val="20"/>
                      <w:szCs w:val="20"/>
                      <w:shd w:val="clear" w:color="auto" w:fill="F5F3F3"/>
                    </w:rPr>
                    <w:t>but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______________.</w:t>
                  </w:r>
                </w:p>
              </w:tc>
            </w:tr>
            <w:tr w:rsidR="002E3892">
              <w:trPr>
                <w:divId w:val="162446371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5"/>
                  </w:tblGrid>
                  <w:tr w:rsidR="002E3892">
                    <w:trPr>
                      <w:divId w:val="2012562488"/>
                    </w:trPr>
                    <w:tc>
                      <w:tcPr>
                        <w:tcW w:w="2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low birth weight</w:t>
                        </w:r>
                        <w:r w:rsidR="00E84951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  <w:tr w:rsidR="002E3892">
                    <w:trPr>
                      <w:divId w:val="2012562488"/>
                    </w:trPr>
                    <w:tc>
                      <w:tcPr>
                        <w:tcW w:w="2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E8495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h</w:t>
                        </w:r>
                        <w:r w:rsidR="003F3BEA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emorrhages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  <w:tr w:rsidR="002E3892">
                    <w:trPr>
                      <w:divId w:val="2012562488"/>
                    </w:trPr>
                    <w:tc>
                      <w:tcPr>
                        <w:tcW w:w="2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quality of attachment</w:t>
                        </w:r>
                        <w:r w:rsidR="00E84951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 xml:space="preserve"> </w:t>
                        </w:r>
                      </w:p>
                    </w:tc>
                  </w:tr>
                  <w:tr w:rsidR="002E3892">
                    <w:trPr>
                      <w:divId w:val="2012562488"/>
                    </w:trPr>
                    <w:tc>
                      <w:tcPr>
                        <w:tcW w:w="2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E8495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a</w:t>
                        </w:r>
                        <w:r w:rsidR="003F3BEA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sphyxia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6859"/>
        <w:gridCol w:w="446"/>
      </w:tblGrid>
      <w:tr w:rsidR="002E3892" w:rsidTr="00C905C6">
        <w:trPr>
          <w:divId w:val="1126198494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5341"/>
            </w:tblGrid>
            <w:tr w:rsidR="002E3892">
              <w:trPr>
                <w:divId w:val="2080128977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ED311D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Prenatal causes for developing disabilities include:</w:t>
                  </w:r>
                </w:p>
              </w:tc>
            </w:tr>
            <w:tr w:rsidR="002E3892">
              <w:trPr>
                <w:divId w:val="2080128977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lastRenderedPageBreak/>
                    <w:t> </w:t>
                  </w:r>
                </w:p>
              </w:tc>
              <w:tc>
                <w:tcPr>
                  <w:tcW w:w="5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2"/>
                  </w:tblGrid>
                  <w:tr w:rsidR="002E3892">
                    <w:trPr>
                      <w:divId w:val="702902354"/>
                    </w:trPr>
                    <w:tc>
                      <w:tcPr>
                        <w:tcW w:w="2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E8495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t</w:t>
                        </w:r>
                        <w:r w:rsidR="003F3BEA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eratogens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  <w:tr w:rsidR="002E3892">
                    <w:trPr>
                      <w:divId w:val="702902354"/>
                    </w:trPr>
                    <w:tc>
                      <w:tcPr>
                        <w:tcW w:w="2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E8495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r</w:t>
                        </w:r>
                        <w:r w:rsidR="003F3BEA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adiation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  <w:tr w:rsidR="002E3892">
                    <w:trPr>
                      <w:divId w:val="702902354"/>
                    </w:trPr>
                    <w:tc>
                      <w:tcPr>
                        <w:tcW w:w="2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E8495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i</w:t>
                        </w:r>
                        <w:r w:rsidR="003F3BEA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nfections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  <w:tr w:rsidR="00684488" w:rsidTr="00684488">
                    <w:trPr>
                      <w:divId w:val="702902354"/>
                    </w:trPr>
                    <w:tc>
                      <w:tcPr>
                        <w:tcW w:w="2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684488" w:rsidRDefault="00684488" w:rsidP="005E339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all of the above.</w:t>
                        </w:r>
                      </w:p>
                    </w:tc>
                  </w:tr>
                  <w:tr w:rsidR="002E3892">
                    <w:trPr>
                      <w:divId w:val="702902354"/>
                    </w:trPr>
                    <w:tc>
                      <w:tcPr>
                        <w:tcW w:w="20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none of the above</w:t>
                        </w:r>
                        <w:r w:rsidR="00E84951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115"/>
        <w:gridCol w:w="438"/>
      </w:tblGrid>
      <w:tr w:rsidR="002E3892" w:rsidTr="00C905C6">
        <w:trPr>
          <w:divId w:val="21489613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483545849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Jaundice or hyperbilirubinemia is caused by an excess of _________ in the bloodstream.</w:t>
                  </w:r>
                </w:p>
              </w:tc>
            </w:tr>
            <w:tr w:rsidR="002E3892">
              <w:trPr>
                <w:divId w:val="483545849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3"/>
                  </w:tblGrid>
                  <w:tr w:rsidR="002E3892">
                    <w:trPr>
                      <w:divId w:val="1043210187"/>
                    </w:trPr>
                    <w:tc>
                      <w:tcPr>
                        <w:tcW w:w="1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iron</w:t>
                        </w:r>
                      </w:p>
                    </w:tc>
                  </w:tr>
                  <w:tr w:rsidR="002E3892">
                    <w:trPr>
                      <w:divId w:val="1043210187"/>
                    </w:trPr>
                    <w:tc>
                      <w:tcPr>
                        <w:tcW w:w="1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RH</w:t>
                        </w:r>
                      </w:p>
                    </w:tc>
                  </w:tr>
                  <w:tr w:rsidR="002E3892">
                    <w:trPr>
                      <w:divId w:val="1043210187"/>
                    </w:trPr>
                    <w:tc>
                      <w:tcPr>
                        <w:tcW w:w="1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bilirubin</w:t>
                        </w:r>
                      </w:p>
                    </w:tc>
                  </w:tr>
                  <w:tr w:rsidR="002E3892">
                    <w:trPr>
                      <w:divId w:val="1043210187"/>
                    </w:trPr>
                    <w:tc>
                      <w:tcPr>
                        <w:tcW w:w="1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drugs and alcohol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114"/>
        <w:gridCol w:w="439"/>
      </w:tblGrid>
      <w:tr w:rsidR="002E3892" w:rsidTr="00C905C6">
        <w:trPr>
          <w:divId w:val="13990118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05218878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Common infections that may lead to mental retardation include ______, ______, _______, ______, and _______.</w:t>
                  </w:r>
                </w:p>
              </w:tc>
            </w:tr>
            <w:tr w:rsidR="002E3892">
              <w:trPr>
                <w:divId w:val="105218878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28"/>
                  </w:tblGrid>
                  <w:tr w:rsidR="002E3892">
                    <w:trPr>
                      <w:divId w:val="1984430249"/>
                    </w:trPr>
                    <w:tc>
                      <w:tcPr>
                        <w:tcW w:w="6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toxoplasmosis, rubella, strep, herpes, and syphilis</w:t>
                        </w:r>
                        <w:r w:rsidR="00E84951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  <w:tr w:rsidR="002E3892">
                    <w:trPr>
                      <w:divId w:val="1984430249"/>
                    </w:trPr>
                    <w:tc>
                      <w:tcPr>
                        <w:tcW w:w="6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RH, rubella, cytomegalovirus, herpes, and syphilis</w:t>
                        </w:r>
                        <w:r w:rsidR="00E84951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  <w:tr w:rsidR="002E3892">
                    <w:trPr>
                      <w:divId w:val="1984430249"/>
                    </w:trPr>
                    <w:tc>
                      <w:tcPr>
                        <w:tcW w:w="6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toxoplasmosis, rubella, cytomegalovirus, herpes, and syphilis.</w:t>
                        </w:r>
                      </w:p>
                    </w:tc>
                  </w:tr>
                  <w:tr w:rsidR="002E3892">
                    <w:trPr>
                      <w:divId w:val="1984430249"/>
                    </w:trPr>
                    <w:tc>
                      <w:tcPr>
                        <w:tcW w:w="60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cytomegalovirus, herpes, syphilis, RH</w:t>
                        </w:r>
                        <w:r w:rsidR="00E84951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,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 xml:space="preserve"> and influenza</w:t>
                        </w:r>
                        <w:r w:rsidR="00E84951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.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114"/>
        <w:gridCol w:w="439"/>
      </w:tblGrid>
      <w:tr w:rsidR="002E3892" w:rsidTr="00C905C6">
        <w:trPr>
          <w:divId w:val="105127077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39430838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 w:rsidP="00547511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Malnutrition, in combination with _______ after birth, may be the most common cause of </w:t>
                  </w:r>
                  <w:r w:rsidR="0054751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CIDs 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in the world.</w:t>
                  </w:r>
                </w:p>
              </w:tc>
            </w:tr>
            <w:tr w:rsidR="002E3892">
              <w:trPr>
                <w:divId w:val="139430838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2E3892">
                    <w:trPr>
                      <w:divId w:val="882060857"/>
                    </w:trPr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toxoplasmosis</w:t>
                        </w:r>
                      </w:p>
                    </w:tc>
                  </w:tr>
                  <w:tr w:rsidR="002E3892">
                    <w:trPr>
                      <w:divId w:val="882060857"/>
                    </w:trPr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environmental deprivation</w:t>
                        </w:r>
                      </w:p>
                    </w:tc>
                  </w:tr>
                  <w:tr w:rsidR="002E3892">
                    <w:trPr>
                      <w:divId w:val="882060857"/>
                    </w:trPr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traumatic brain injury (TBI)</w:t>
                        </w:r>
                      </w:p>
                    </w:tc>
                  </w:tr>
                  <w:tr w:rsidR="002E3892">
                    <w:trPr>
                      <w:divId w:val="882060857"/>
                    </w:trPr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accidents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8115"/>
        <w:gridCol w:w="439"/>
      </w:tblGrid>
      <w:tr w:rsidR="002E3892" w:rsidTr="00C905C6">
        <w:trPr>
          <w:divId w:val="211277806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12384383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________ 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is the most severe cause of hyperbilirubinemia and poses a serious threat to the infant.</w:t>
                  </w:r>
                </w:p>
              </w:tc>
            </w:tr>
            <w:tr w:rsidR="002E3892">
              <w:trPr>
                <w:divId w:val="112384383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8"/>
                  </w:tblGrid>
                  <w:tr w:rsidR="002E3892">
                    <w:trPr>
                      <w:divId w:val="380979422"/>
                    </w:trPr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Anoxia</w:t>
                        </w:r>
                      </w:p>
                    </w:tc>
                  </w:tr>
                  <w:tr w:rsidR="002E3892">
                    <w:trPr>
                      <w:divId w:val="380979422"/>
                    </w:trPr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Intracranial hemorrhage</w:t>
                        </w:r>
                      </w:p>
                    </w:tc>
                  </w:tr>
                  <w:tr w:rsidR="002E3892">
                    <w:trPr>
                      <w:divId w:val="380979422"/>
                    </w:trPr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R</w:t>
                        </w:r>
                        <w:r w:rsidR="00E84951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H</w:t>
                        </w: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 xml:space="preserve"> incompatibility</w:t>
                        </w:r>
                      </w:p>
                    </w:tc>
                  </w:tr>
                  <w:tr w:rsidR="002E3892">
                    <w:trPr>
                      <w:divId w:val="380979422"/>
                    </w:trPr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Apnea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8115"/>
        <w:gridCol w:w="439"/>
      </w:tblGrid>
      <w:tr w:rsidR="002E3892" w:rsidTr="00C905C6">
        <w:trPr>
          <w:divId w:val="119959021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68375020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bookmarkStart w:id="0" w:name="_GoBack" w:colFirst="1" w:colLast="1"/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53534"/>
                      <w:sz w:val="20"/>
                      <w:szCs w:val="20"/>
                      <w:shd w:val="clear" w:color="auto" w:fill="F5F3F3"/>
                    </w:rPr>
                    <w:t>_______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 is a postnatal inflammation of the brain that may be caused by a variety of infectious agents (e.g., measles, 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lastRenderedPageBreak/>
                    <w:t>pneumonia, rubella, chicken pox)</w:t>
                  </w:r>
                  <w:r w:rsidR="00E8495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.</w:t>
                  </w:r>
                </w:p>
              </w:tc>
            </w:tr>
            <w:tr w:rsidR="002E3892">
              <w:trPr>
                <w:divId w:val="683750206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shd w:val="clear" w:color="auto" w:fill="F5F3F3"/>
                    </w:rPr>
                    <w:lastRenderedPageBreak/>
                    <w:t> </w:t>
                  </w: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2" w:space="0" w:color="A3A3A3"/>
                      <w:left w:val="single" w:sz="2" w:space="0" w:color="A3A3A3"/>
                      <w:bottom w:val="single" w:sz="2" w:space="0" w:color="A3A3A3"/>
                      <w:right w:val="single" w:sz="2" w:space="0" w:color="A3A3A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4"/>
                  </w:tblGrid>
                  <w:tr w:rsidR="002E3892">
                    <w:trPr>
                      <w:divId w:val="364991687"/>
                    </w:trPr>
                    <w:tc>
                      <w:tcPr>
                        <w:tcW w:w="20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Hypoglycemia</w:t>
                        </w:r>
                      </w:p>
                    </w:tc>
                  </w:tr>
                  <w:tr w:rsidR="002E3892">
                    <w:trPr>
                      <w:divId w:val="364991687"/>
                    </w:trPr>
                    <w:tc>
                      <w:tcPr>
                        <w:tcW w:w="20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Jaundice</w:t>
                        </w:r>
                      </w:p>
                    </w:tc>
                  </w:tr>
                  <w:tr w:rsidR="002E3892">
                    <w:trPr>
                      <w:divId w:val="364991687"/>
                    </w:trPr>
                    <w:tc>
                      <w:tcPr>
                        <w:tcW w:w="20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Hyperbilirubinemia</w:t>
                        </w:r>
                      </w:p>
                    </w:tc>
                  </w:tr>
                  <w:tr w:rsidR="002E3892">
                    <w:trPr>
                      <w:divId w:val="364991687"/>
                    </w:trPr>
                    <w:tc>
                      <w:tcPr>
                        <w:tcW w:w="20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  <w:hideMark/>
                      </w:tcPr>
                      <w:p w:rsidR="002E3892" w:rsidRDefault="003F3BE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  <w:shd w:val="clear" w:color="auto" w:fill="F5F3F3"/>
                          </w:rPr>
                          <w:t>Encephalitis</w:t>
                        </w:r>
                      </w:p>
                    </w:tc>
                  </w:tr>
                </w:tbl>
                <w:p w:rsidR="002E3892" w:rsidRDefault="002E3892">
                  <w:pPr>
                    <w:rPr>
                      <w:rFonts w:eastAsia="Times New Roman"/>
                    </w:rPr>
                  </w:pPr>
                </w:p>
              </w:tc>
            </w:tr>
            <w:bookmarkEnd w:id="0"/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 </w:t>
            </w:r>
          </w:p>
        </w:tc>
      </w:tr>
    </w:tbl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8108"/>
        <w:gridCol w:w="442"/>
      </w:tblGrid>
      <w:tr w:rsidR="002E3892" w:rsidTr="00C905C6">
        <w:trPr>
          <w:divId w:val="62628062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24506431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List and explain child</w:t>
                  </w:r>
                  <w:r w:rsidR="00E8495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-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rearing practices that enhance child development as well as deter child development.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E3892" w:rsidTr="00C905C6">
        <w:trPr>
          <w:divId w:val="62628062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9760487" wp14:editId="7F9874DF">
                  <wp:extent cx="85725" cy="85725"/>
                  <wp:effectExtent l="0" t="0" r="9525" b="9525"/>
                  <wp:docPr id="101" name="Picture 101" descr="C:\ED939E85\21DA7726-310A-4B9F-8C3C-658CCAB57EF3_files\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ED939E85\21DA7726-310A-4B9F-8C3C-658CCAB57EF3_files\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6C89A4E" wp14:editId="28D46F97">
                  <wp:extent cx="85725" cy="85725"/>
                  <wp:effectExtent l="0" t="0" r="9525" b="9525"/>
                  <wp:docPr id="102" name="Picture 102" descr="End of Questio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End of Question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892" w:rsidRDefault="003F3BE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E3892" w:rsidRDefault="003F3BE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8107"/>
        <w:gridCol w:w="442"/>
      </w:tblGrid>
      <w:tr w:rsidR="002E3892">
        <w:trPr>
          <w:divId w:val="60746823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6B3156C" wp14:editId="2F49AAD3">
                  <wp:extent cx="85725" cy="85725"/>
                  <wp:effectExtent l="0" t="0" r="9525" b="9525"/>
                  <wp:docPr id="103" name="Picture 103" descr="C:\ED939E85\21DA7726-310A-4B9F-8C3C-658CCAB57EF3_file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ED939E85\21DA7726-310A-4B9F-8C3C-658CCAB57EF3_file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82B2B48" wp14:editId="6B283FB2">
                  <wp:extent cx="85725" cy="85725"/>
                  <wp:effectExtent l="0" t="0" r="9525" b="9525"/>
                  <wp:docPr id="104" name="Picture 104" descr="C:\ED939E85\21DA7726-310A-4B9F-8C3C-658CCAB57EF3_files\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ED939E85\21DA7726-310A-4B9F-8C3C-658CCAB57EF3_files\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892">
        <w:trPr>
          <w:divId w:val="60746823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858861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Describe how effective early educational intervention might help </w:t>
                  </w:r>
                  <w:r w:rsidR="0054751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in preventing CIDs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. Give examples.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E3892">
        <w:trPr>
          <w:divId w:val="60746823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60958C6" wp14:editId="2F9F565C">
                  <wp:extent cx="85725" cy="85725"/>
                  <wp:effectExtent l="0" t="0" r="9525" b="9525"/>
                  <wp:docPr id="106" name="Picture 106" descr="C:\ED939E85\21DA7726-310A-4B9F-8C3C-658CCAB57EF3_files\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ED939E85\21DA7726-310A-4B9F-8C3C-658CCAB57EF3_files\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EC0C444" wp14:editId="14362B10">
                  <wp:extent cx="85725" cy="85725"/>
                  <wp:effectExtent l="0" t="0" r="9525" b="9525"/>
                  <wp:docPr id="107" name="Picture 107" descr="End of Questio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End of Questio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892" w:rsidRDefault="003F3BE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E3892" w:rsidRDefault="003F3BE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8106"/>
        <w:gridCol w:w="442"/>
      </w:tblGrid>
      <w:tr w:rsidR="002E3892">
        <w:trPr>
          <w:divId w:val="179563975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4B2E0340" wp14:editId="3F3F7F79">
                  <wp:extent cx="85725" cy="85725"/>
                  <wp:effectExtent l="0" t="0" r="9525" b="9525"/>
                  <wp:docPr id="108" name="Picture 108" descr="C:\ED939E85\21DA7726-310A-4B9F-8C3C-658CCAB57EF3_file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ED939E85\21DA7726-310A-4B9F-8C3C-658CCAB57EF3_file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20A1AE7" wp14:editId="58B6D081">
                  <wp:extent cx="85725" cy="85725"/>
                  <wp:effectExtent l="0" t="0" r="9525" b="9525"/>
                  <wp:docPr id="109" name="Picture 109" descr="C:\ED939E85\21DA7726-310A-4B9F-8C3C-658CCAB57EF3_files\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ED939E85\21DA7726-310A-4B9F-8C3C-658CCAB57EF3_files\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892">
        <w:trPr>
          <w:divId w:val="179563975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489754041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Identify lifestyle choices made by pregnant women that affect the outcomes of their offspring.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E3892">
        <w:trPr>
          <w:divId w:val="179563975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FB788C1" wp14:editId="0F0611C8">
                  <wp:extent cx="85725" cy="85725"/>
                  <wp:effectExtent l="0" t="0" r="9525" b="9525"/>
                  <wp:docPr id="111" name="Picture 111" descr="C:\ED939E85\21DA7726-310A-4B9F-8C3C-658CCAB57EF3_files\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ED939E85\21DA7726-310A-4B9F-8C3C-658CCAB57EF3_files\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76E4EBF0" wp14:editId="473C3E90">
                  <wp:extent cx="85725" cy="85725"/>
                  <wp:effectExtent l="0" t="0" r="9525" b="9525"/>
                  <wp:docPr id="112" name="Picture 112" descr="End of Questio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End of Question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892" w:rsidRDefault="003F3BE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E3892" w:rsidRDefault="003F3BE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8108"/>
        <w:gridCol w:w="442"/>
      </w:tblGrid>
      <w:tr w:rsidR="002E3892">
        <w:trPr>
          <w:divId w:val="164654690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8E2A8EA" wp14:editId="7A76CE6E">
                  <wp:extent cx="85725" cy="85725"/>
                  <wp:effectExtent l="0" t="0" r="9525" b="9525"/>
                  <wp:docPr id="113" name="Picture 113" descr="C:\ED939E85\21DA7726-310A-4B9F-8C3C-658CCAB57EF3_files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ED939E85\21DA7726-310A-4B9F-8C3C-658CCAB57EF3_files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ADA3F5B" wp14:editId="61BD6764">
                  <wp:extent cx="85725" cy="85725"/>
                  <wp:effectExtent l="0" t="0" r="9525" b="9525"/>
                  <wp:docPr id="114" name="Picture 114" descr="C:\ED939E85\21DA7726-310A-4B9F-8C3C-658CCAB57EF3_files\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ED939E85\21DA7726-310A-4B9F-8C3C-658CCAB57EF3_files\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892">
        <w:trPr>
          <w:divId w:val="164654690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W w:w="0" w:type="auto"/>
              <w:tblBorders>
                <w:top w:val="single" w:sz="2" w:space="0" w:color="A3A3A3"/>
                <w:left w:val="single" w:sz="2" w:space="0" w:color="A3A3A3"/>
                <w:bottom w:val="single" w:sz="2" w:space="0" w:color="A3A3A3"/>
                <w:right w:val="single" w:sz="2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784"/>
            </w:tblGrid>
            <w:tr w:rsidR="002E3892">
              <w:trPr>
                <w:divId w:val="178442232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2E3892" w:rsidP="00C905C6">
                  <w:pPr>
                    <w:pStyle w:val="Normal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3892" w:rsidRDefault="003F3BEA">
                  <w:pPr>
                    <w:pStyle w:val="NormalWeb"/>
                    <w:spacing w:before="0" w:beforeAutospacing="0" w:after="0" w:afterAutospacing="0"/>
                    <w:rPr>
                      <w:rFonts w:ascii="Verdana" w:hAnsi="Verdana"/>
                      <w:color w:val="35353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Identify, describe</w:t>
                  </w:r>
                  <w:r w:rsidR="00E84951"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>,</w:t>
                  </w:r>
                  <w:r>
                    <w:rPr>
                      <w:rFonts w:ascii="Verdana" w:hAnsi="Verdana"/>
                      <w:color w:val="353534"/>
                      <w:sz w:val="20"/>
                      <w:szCs w:val="20"/>
                      <w:shd w:val="clear" w:color="auto" w:fill="F5F3F3"/>
                    </w:rPr>
                    <w:t xml:space="preserve"> and discuss the social factors related to a child's environment that affect the development of disabilities.</w:t>
                  </w:r>
                </w:p>
              </w:tc>
            </w:tr>
          </w:tbl>
          <w:p w:rsidR="002E3892" w:rsidRDefault="002E3892">
            <w:pPr>
              <w:rPr>
                <w:rFonts w:eastAsia="Times New Roman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E3892">
        <w:trPr>
          <w:divId w:val="164654690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245DADB" wp14:editId="5CE9D6E1">
                  <wp:extent cx="85725" cy="85725"/>
                  <wp:effectExtent l="0" t="0" r="9525" b="9525"/>
                  <wp:docPr id="116" name="Picture 116" descr="C:\ED939E85\21DA7726-310A-4B9F-8C3C-658CCAB57EF3_files\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ED939E85\21DA7726-310A-4B9F-8C3C-658CCAB57EF3_files\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3892" w:rsidRDefault="003F3BEA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1E54EFB" wp14:editId="2513B379">
                  <wp:extent cx="85725" cy="85725"/>
                  <wp:effectExtent l="0" t="0" r="9525" b="9525"/>
                  <wp:docPr id="117" name="Picture 117" descr="End of Questio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End of Question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892" w:rsidRDefault="003F3BEA">
      <w:pPr>
        <w:pStyle w:val="NormalWeb"/>
        <w:spacing w:before="0" w:beforeAutospacing="0" w:after="0" w:afterAutospacing="0"/>
        <w:rPr>
          <w:rFonts w:ascii="Calibri" w:hAnsi="Calibri"/>
          <w:color w:val="666666"/>
          <w:sz w:val="18"/>
          <w:szCs w:val="18"/>
        </w:rPr>
      </w:pPr>
      <w:r>
        <w:rPr>
          <w:rFonts w:ascii="Calibri" w:hAnsi="Calibri"/>
          <w:color w:val="666666"/>
          <w:sz w:val="18"/>
          <w:szCs w:val="18"/>
        </w:rPr>
        <w:t>&gt;</w:t>
      </w:r>
    </w:p>
    <w:sectPr w:rsidR="002E38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35" w:rsidRDefault="00560635" w:rsidP="00CD68E7">
      <w:r>
        <w:separator/>
      </w:r>
    </w:p>
  </w:endnote>
  <w:endnote w:type="continuationSeparator" w:id="0">
    <w:p w:rsidR="00560635" w:rsidRDefault="00560635" w:rsidP="00CD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E7" w:rsidRDefault="00CD68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E7" w:rsidRDefault="00CD68E7" w:rsidP="00CD68E7">
    <w:pPr>
      <w:pStyle w:val="Footer"/>
      <w:jc w:val="center"/>
    </w:pPr>
    <w:r w:rsidRPr="00AA3DBE">
      <w:t>© Taylor &amp; Francis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E7" w:rsidRDefault="00CD6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35" w:rsidRDefault="00560635" w:rsidP="00CD68E7">
      <w:r>
        <w:separator/>
      </w:r>
    </w:p>
  </w:footnote>
  <w:footnote w:type="continuationSeparator" w:id="0">
    <w:p w:rsidR="00560635" w:rsidRDefault="00560635" w:rsidP="00CD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E7" w:rsidRDefault="00CD68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E7" w:rsidRDefault="00CD68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E7" w:rsidRDefault="00CD68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0B8"/>
    <w:multiLevelType w:val="hybridMultilevel"/>
    <w:tmpl w:val="CBEA5F2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3BEA"/>
    <w:rsid w:val="002E3892"/>
    <w:rsid w:val="00324CDA"/>
    <w:rsid w:val="003F3BEA"/>
    <w:rsid w:val="00423270"/>
    <w:rsid w:val="00547511"/>
    <w:rsid w:val="00560635"/>
    <w:rsid w:val="006835D0"/>
    <w:rsid w:val="00684488"/>
    <w:rsid w:val="00712F3B"/>
    <w:rsid w:val="0090586B"/>
    <w:rsid w:val="00AA79BD"/>
    <w:rsid w:val="00B008DC"/>
    <w:rsid w:val="00C70711"/>
    <w:rsid w:val="00C77D61"/>
    <w:rsid w:val="00C905C6"/>
    <w:rsid w:val="00CA214A"/>
    <w:rsid w:val="00CD68E7"/>
    <w:rsid w:val="00E84951"/>
    <w:rsid w:val="00E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E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E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6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E7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4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51"/>
    <w:rPr>
      <w:rFonts w:eastAsiaTheme="minorEastAs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E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E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6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E7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4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51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0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6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PruittEDC</dc:creator>
  <cp:lastModifiedBy>A. Freitag</cp:lastModifiedBy>
  <cp:revision>14</cp:revision>
  <cp:lastPrinted>2014-03-28T18:09:00Z</cp:lastPrinted>
  <dcterms:created xsi:type="dcterms:W3CDTF">2014-02-27T17:55:00Z</dcterms:created>
  <dcterms:modified xsi:type="dcterms:W3CDTF">2014-06-18T17:27:00Z</dcterms:modified>
</cp:coreProperties>
</file>