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026A4" w14:textId="3A82445F" w:rsidR="00E56BB4" w:rsidRPr="00E56BB4" w:rsidRDefault="00E56BB4" w:rsidP="00E56BB4">
      <w:pPr>
        <w:spacing w:after="120"/>
        <w:jc w:val="center"/>
        <w:rPr>
          <w:rFonts w:ascii="Arial" w:hAnsi="Arial" w:cs="Arial"/>
          <w:b/>
        </w:rPr>
      </w:pPr>
      <w:r w:rsidRPr="00E56BB4">
        <w:rPr>
          <w:rFonts w:ascii="Arial" w:hAnsi="Arial" w:cs="Arial"/>
          <w:b/>
        </w:rPr>
        <w:t>Context Analysis Worksheet</w:t>
      </w:r>
    </w:p>
    <w:p w14:paraId="699AF062" w14:textId="2E49B3B2" w:rsidR="00144DB1" w:rsidRDefault="00144DB1" w:rsidP="00144DB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Use </w:t>
      </w:r>
      <w:r w:rsidR="009D3F7B">
        <w:rPr>
          <w:i/>
          <w:sz w:val="20"/>
          <w:szCs w:val="20"/>
        </w:rPr>
        <w:t>the information</w:t>
      </w:r>
      <w:r>
        <w:rPr>
          <w:i/>
          <w:sz w:val="20"/>
          <w:szCs w:val="20"/>
        </w:rPr>
        <w:t xml:space="preserve"> in</w:t>
      </w:r>
      <w:r w:rsidR="009D3F7B">
        <w:rPr>
          <w:i/>
          <w:sz w:val="20"/>
          <w:szCs w:val="20"/>
        </w:rPr>
        <w:t xml:space="preserve"> Chapter 4 of</w:t>
      </w:r>
      <w:r>
        <w:rPr>
          <w:i/>
          <w:sz w:val="20"/>
          <w:szCs w:val="20"/>
        </w:rPr>
        <w:t xml:space="preserve"> Streamlined ID </w:t>
      </w:r>
      <w:r w:rsidR="00E56BB4">
        <w:rPr>
          <w:i/>
          <w:sz w:val="20"/>
          <w:szCs w:val="20"/>
        </w:rPr>
        <w:t xml:space="preserve">(2020) </w:t>
      </w:r>
      <w:r w:rsidR="009D3F7B">
        <w:rPr>
          <w:i/>
          <w:sz w:val="20"/>
          <w:szCs w:val="20"/>
        </w:rPr>
        <w:t>and Table</w:t>
      </w:r>
      <w:r w:rsidR="00E56BB4">
        <w:rPr>
          <w:i/>
          <w:sz w:val="20"/>
          <w:szCs w:val="20"/>
        </w:rPr>
        <w:t>s</w:t>
      </w:r>
      <w:r w:rsidR="009D3F7B">
        <w:rPr>
          <w:i/>
          <w:sz w:val="20"/>
          <w:szCs w:val="20"/>
        </w:rPr>
        <w:t xml:space="preserve"> 4.2</w:t>
      </w:r>
      <w:r w:rsidR="00E56BB4">
        <w:rPr>
          <w:i/>
          <w:sz w:val="20"/>
          <w:szCs w:val="20"/>
        </w:rPr>
        <w:t xml:space="preserve"> through 4.5</w:t>
      </w:r>
      <w:r w:rsidR="009D3F7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as guide</w:t>
      </w:r>
      <w:r w:rsidR="009D3F7B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to complete this worksheet, expanding </w:t>
      </w:r>
      <w:r w:rsidR="009D3F7B">
        <w:rPr>
          <w:i/>
          <w:sz w:val="20"/>
          <w:szCs w:val="20"/>
        </w:rPr>
        <w:t xml:space="preserve">the rows </w:t>
      </w:r>
      <w:r>
        <w:rPr>
          <w:i/>
          <w:sz w:val="20"/>
          <w:szCs w:val="20"/>
        </w:rPr>
        <w:t xml:space="preserve">as necessary to record </w:t>
      </w:r>
      <w:r w:rsidR="009D3F7B">
        <w:rPr>
          <w:i/>
          <w:sz w:val="20"/>
          <w:szCs w:val="20"/>
        </w:rPr>
        <w:t xml:space="preserve">your decisions or your </w:t>
      </w:r>
      <w:r>
        <w:rPr>
          <w:i/>
          <w:sz w:val="20"/>
          <w:szCs w:val="20"/>
        </w:rPr>
        <w:t>stakeholder</w:t>
      </w:r>
      <w:r w:rsidR="009D3F7B">
        <w:rPr>
          <w:i/>
          <w:sz w:val="20"/>
          <w:szCs w:val="20"/>
        </w:rPr>
        <w:t>s’ requirements</w:t>
      </w:r>
      <w:r>
        <w:rPr>
          <w:i/>
          <w:sz w:val="20"/>
          <w:szCs w:val="20"/>
        </w:rPr>
        <w:t xml:space="preserve"> for </w:t>
      </w:r>
      <w:r w:rsidR="009D3F7B">
        <w:rPr>
          <w:i/>
          <w:sz w:val="20"/>
          <w:szCs w:val="20"/>
        </w:rPr>
        <w:t xml:space="preserve">the </w:t>
      </w:r>
      <w:r>
        <w:rPr>
          <w:i/>
          <w:sz w:val="20"/>
          <w:szCs w:val="20"/>
        </w:rPr>
        <w:t xml:space="preserve">project contexts. </w:t>
      </w:r>
    </w:p>
    <w:p w14:paraId="7804CBF2" w14:textId="77777777" w:rsidR="009D3F7B" w:rsidRPr="00144DB1" w:rsidRDefault="009D3F7B" w:rsidP="00144DB1">
      <w:pPr>
        <w:rPr>
          <w:i/>
          <w:sz w:val="20"/>
          <w:szCs w:val="20"/>
        </w:rPr>
      </w:pPr>
    </w:p>
    <w:tbl>
      <w:tblPr>
        <w:tblW w:w="1368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10"/>
        <w:gridCol w:w="11970"/>
      </w:tblGrid>
      <w:tr w:rsidR="00820C95" w:rsidRPr="009C0008" w14:paraId="31EC64D6" w14:textId="77777777" w:rsidTr="0036041E">
        <w:trPr>
          <w:trHeight w:val="206"/>
          <w:tblHeader/>
        </w:trPr>
        <w:tc>
          <w:tcPr>
            <w:tcW w:w="1710" w:type="dxa"/>
            <w:shd w:val="clear" w:color="auto" w:fill="D9D9D9" w:themeFill="background1" w:themeFillShade="D9"/>
          </w:tcPr>
          <w:p w14:paraId="6B10F5C7" w14:textId="77777777" w:rsidR="00820C95" w:rsidRPr="00E56BB4" w:rsidRDefault="00820C95" w:rsidP="00AC64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BB4">
              <w:rPr>
                <w:rFonts w:ascii="Arial" w:hAnsi="Arial" w:cs="Arial"/>
                <w:b/>
                <w:sz w:val="22"/>
              </w:rPr>
              <w:t>Factor</w:t>
            </w:r>
          </w:p>
        </w:tc>
        <w:tc>
          <w:tcPr>
            <w:tcW w:w="11970" w:type="dxa"/>
            <w:shd w:val="clear" w:color="auto" w:fill="D9D9D9" w:themeFill="background1" w:themeFillShade="D9"/>
          </w:tcPr>
          <w:p w14:paraId="04B1BEAB" w14:textId="3C6704BC" w:rsidR="00820C95" w:rsidRPr="00E56BB4" w:rsidRDefault="00E56BB4" w:rsidP="00AC64B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Context Design </w:t>
            </w:r>
            <w:r w:rsidR="00820C95" w:rsidRPr="00E56BB4">
              <w:rPr>
                <w:rFonts w:ascii="Arial" w:hAnsi="Arial" w:cs="Arial"/>
                <w:b/>
                <w:sz w:val="22"/>
              </w:rPr>
              <w:t>Options &amp; Descriptions</w:t>
            </w:r>
          </w:p>
        </w:tc>
      </w:tr>
      <w:tr w:rsidR="009D3F7B" w:rsidRPr="009C0008" w14:paraId="3434351C" w14:textId="77777777" w:rsidTr="0036041E">
        <w:trPr>
          <w:trHeight w:val="432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54E540DB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Performance Context</w:t>
            </w:r>
          </w:p>
        </w:tc>
        <w:tc>
          <w:tcPr>
            <w:tcW w:w="11970" w:type="dxa"/>
            <w:shd w:val="clear" w:color="auto" w:fill="auto"/>
          </w:tcPr>
          <w:p w14:paraId="699C8200" w14:textId="21279F3B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Physical Characteristics</w:t>
            </w:r>
          </w:p>
        </w:tc>
      </w:tr>
      <w:tr w:rsidR="009D3F7B" w:rsidRPr="009C0008" w14:paraId="40298A0F" w14:textId="77777777" w:rsidTr="0036041E">
        <w:trPr>
          <w:trHeight w:val="432"/>
        </w:trPr>
        <w:tc>
          <w:tcPr>
            <w:tcW w:w="1710" w:type="dxa"/>
            <w:vMerge/>
            <w:shd w:val="clear" w:color="auto" w:fill="auto"/>
            <w:vAlign w:val="center"/>
          </w:tcPr>
          <w:p w14:paraId="51E6375B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3141B0D4" w14:textId="08146CEF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Support</w:t>
            </w:r>
          </w:p>
        </w:tc>
      </w:tr>
      <w:tr w:rsidR="009D3F7B" w:rsidRPr="009C0008" w14:paraId="636634E0" w14:textId="77777777" w:rsidTr="0036041E">
        <w:trPr>
          <w:trHeight w:val="432"/>
        </w:trPr>
        <w:tc>
          <w:tcPr>
            <w:tcW w:w="1710" w:type="dxa"/>
            <w:vMerge/>
            <w:shd w:val="clear" w:color="auto" w:fill="auto"/>
            <w:vAlign w:val="center"/>
          </w:tcPr>
          <w:p w14:paraId="14A24183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3E0510E7" w14:textId="12A3BFC7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Social Aspects</w:t>
            </w:r>
          </w:p>
        </w:tc>
      </w:tr>
      <w:tr w:rsidR="009D3F7B" w:rsidRPr="009C0008" w14:paraId="709FF117" w14:textId="77777777" w:rsidTr="0036041E">
        <w:trPr>
          <w:trHeight w:val="432"/>
        </w:trPr>
        <w:tc>
          <w:tcPr>
            <w:tcW w:w="1710" w:type="dxa"/>
            <w:vMerge/>
            <w:shd w:val="clear" w:color="auto" w:fill="auto"/>
            <w:vAlign w:val="center"/>
          </w:tcPr>
          <w:p w14:paraId="63074FBD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2D033F4B" w14:textId="2F00FC8D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Relevance of Skills &amp; Knowledge</w:t>
            </w:r>
          </w:p>
        </w:tc>
      </w:tr>
      <w:tr w:rsidR="009D3F7B" w:rsidRPr="009C0008" w14:paraId="0F76342A" w14:textId="77777777" w:rsidTr="0036041E">
        <w:trPr>
          <w:trHeight w:val="432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42F0FF2F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Learning Context</w:t>
            </w:r>
          </w:p>
        </w:tc>
        <w:tc>
          <w:tcPr>
            <w:tcW w:w="11970" w:type="dxa"/>
            <w:shd w:val="clear" w:color="auto" w:fill="auto"/>
          </w:tcPr>
          <w:p w14:paraId="21107571" w14:textId="53E57D18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Physical Characteristics</w:t>
            </w:r>
          </w:p>
        </w:tc>
      </w:tr>
      <w:tr w:rsidR="009D3F7B" w:rsidRPr="009C0008" w14:paraId="63ED64FA" w14:textId="77777777" w:rsidTr="0036041E">
        <w:trPr>
          <w:trHeight w:val="432"/>
        </w:trPr>
        <w:tc>
          <w:tcPr>
            <w:tcW w:w="1710" w:type="dxa"/>
            <w:vMerge/>
            <w:shd w:val="clear" w:color="auto" w:fill="auto"/>
            <w:vAlign w:val="center"/>
          </w:tcPr>
          <w:p w14:paraId="44BBE701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67AFF240" w14:textId="25FCF3B0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Personnel or Time Constraints</w:t>
            </w:r>
          </w:p>
        </w:tc>
      </w:tr>
      <w:tr w:rsidR="009D3F7B" w:rsidRPr="009C0008" w14:paraId="3610FA2F" w14:textId="77777777" w:rsidTr="0036041E">
        <w:trPr>
          <w:trHeight w:val="432"/>
        </w:trPr>
        <w:tc>
          <w:tcPr>
            <w:tcW w:w="1710" w:type="dxa"/>
            <w:vMerge/>
            <w:shd w:val="clear" w:color="auto" w:fill="auto"/>
            <w:vAlign w:val="center"/>
          </w:tcPr>
          <w:p w14:paraId="2547C1F5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144855D1" w14:textId="741D64FA" w:rsidR="009D3F7B" w:rsidRPr="00E56BB4" w:rsidRDefault="009D3F7B" w:rsidP="00E56BB4">
            <w:pPr>
              <w:ind w:left="216" w:hanging="216"/>
              <w:rPr>
                <w:sz w:val="20"/>
                <w:szCs w:val="20"/>
              </w:rPr>
            </w:pPr>
            <w:r w:rsidRPr="00E56BB4">
              <w:rPr>
                <w:sz w:val="20"/>
                <w:szCs w:val="20"/>
              </w:rPr>
              <w:t>Compatibility with Learner Needs</w:t>
            </w:r>
          </w:p>
        </w:tc>
      </w:tr>
      <w:tr w:rsidR="009D3F7B" w:rsidRPr="009C0008" w14:paraId="3EABE5A9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445AACF3" w14:textId="5FB796F8" w:rsidR="009D3F7B" w:rsidRPr="00E56BB4" w:rsidRDefault="00E56BB4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Global </w:t>
            </w:r>
            <w:r w:rsidR="009D3F7B" w:rsidRPr="00E56BB4">
              <w:rPr>
                <w:rFonts w:ascii="Arial" w:hAnsi="Arial" w:cs="Arial"/>
                <w:b/>
                <w:sz w:val="20"/>
                <w:szCs w:val="20"/>
              </w:rPr>
              <w:t>Social Culture</w:t>
            </w:r>
          </w:p>
        </w:tc>
        <w:tc>
          <w:tcPr>
            <w:tcW w:w="11970" w:type="dxa"/>
            <w:shd w:val="clear" w:color="auto" w:fill="auto"/>
          </w:tcPr>
          <w:p w14:paraId="0F11F335" w14:textId="77777777" w:rsidR="009D3F7B" w:rsidRDefault="009D3F7B" w:rsidP="00E56B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56BB4" w:rsidRPr="009C0008" w14:paraId="24A0D26D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71A738C0" w14:textId="512F9898" w:rsidR="00E56BB4" w:rsidRPr="00E56BB4" w:rsidRDefault="00E56BB4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Organizational C</w:t>
            </w:r>
            <w:r>
              <w:rPr>
                <w:rFonts w:ascii="Arial" w:hAnsi="Arial" w:cs="Arial"/>
                <w:b/>
                <w:sz w:val="20"/>
                <w:szCs w:val="20"/>
              </w:rPr>
              <w:t>ulture</w:t>
            </w:r>
          </w:p>
        </w:tc>
        <w:tc>
          <w:tcPr>
            <w:tcW w:w="11970" w:type="dxa"/>
            <w:shd w:val="clear" w:color="auto" w:fill="auto"/>
          </w:tcPr>
          <w:p w14:paraId="373919D5" w14:textId="77777777" w:rsidR="00E56BB4" w:rsidRDefault="00E56BB4" w:rsidP="001579B1">
            <w:pPr>
              <w:ind w:left="216" w:hanging="216"/>
              <w:rPr>
                <w:rFonts w:ascii="Calibri" w:hAnsi="Calibri"/>
                <w:sz w:val="20"/>
                <w:szCs w:val="20"/>
              </w:rPr>
            </w:pPr>
          </w:p>
        </w:tc>
      </w:tr>
      <w:tr w:rsidR="009D3F7B" w:rsidRPr="009C0008" w14:paraId="6F6159B4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63966114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Stakeholder Requirements</w:t>
            </w:r>
          </w:p>
        </w:tc>
        <w:tc>
          <w:tcPr>
            <w:tcW w:w="11970" w:type="dxa"/>
            <w:shd w:val="clear" w:color="auto" w:fill="auto"/>
          </w:tcPr>
          <w:p w14:paraId="3A83DA7A" w14:textId="77777777" w:rsidR="009D3F7B" w:rsidRDefault="009D3F7B" w:rsidP="00E56B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3F7B" w:rsidRPr="009C0008" w14:paraId="7EB25209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04BB3100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Designer &amp; Stakeholder Assumptions </w:t>
            </w:r>
          </w:p>
        </w:tc>
        <w:tc>
          <w:tcPr>
            <w:tcW w:w="11970" w:type="dxa"/>
            <w:shd w:val="clear" w:color="auto" w:fill="auto"/>
          </w:tcPr>
          <w:p w14:paraId="13C4C47B" w14:textId="77777777" w:rsidR="009D3F7B" w:rsidRDefault="009D3F7B" w:rsidP="00E56B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3F7B" w:rsidRPr="009C0008" w14:paraId="5DECB827" w14:textId="77777777" w:rsidTr="0036041E">
        <w:trPr>
          <w:trHeight w:val="90"/>
        </w:trPr>
        <w:tc>
          <w:tcPr>
            <w:tcW w:w="13680" w:type="dxa"/>
            <w:gridSpan w:val="2"/>
            <w:shd w:val="clear" w:color="auto" w:fill="D9D9D9" w:themeFill="background1" w:themeFillShade="D9"/>
            <w:vAlign w:val="center"/>
          </w:tcPr>
          <w:p w14:paraId="1A021BAF" w14:textId="77777777" w:rsidR="009D3F7B" w:rsidRPr="00E56BB4" w:rsidRDefault="009D3F7B" w:rsidP="00205646">
            <w:pPr>
              <w:ind w:left="216" w:hanging="216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9D3F7B" w:rsidRPr="009C0008" w14:paraId="14B001E8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6B0EB7EA" w14:textId="77777777" w:rsidR="00205646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Purpose </w:t>
            </w:r>
          </w:p>
          <w:p w14:paraId="5D61971E" w14:textId="7484F9C3" w:rsidR="009D3F7B" w:rsidRPr="00E56BB4" w:rsidRDefault="009D3F7B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Scope of </w:t>
            </w:r>
            <w:r w:rsidR="00205646">
              <w:rPr>
                <w:rFonts w:ascii="Arial" w:hAnsi="Arial" w:cs="Arial"/>
                <w:b/>
                <w:sz w:val="20"/>
                <w:szCs w:val="20"/>
              </w:rPr>
              <w:t xml:space="preserve">Instruction &amp; 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1970" w:type="dxa"/>
            <w:shd w:val="clear" w:color="auto" w:fill="auto"/>
          </w:tcPr>
          <w:p w14:paraId="75B7511F" w14:textId="77777777" w:rsidR="009D3F7B" w:rsidRDefault="009D3F7B" w:rsidP="00E56B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22CB3D76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3F45EDA2" w14:textId="707F1EC2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="00E56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56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>Place Access &amp; Dispersion</w:t>
            </w:r>
          </w:p>
        </w:tc>
        <w:tc>
          <w:tcPr>
            <w:tcW w:w="11970" w:type="dxa"/>
            <w:shd w:val="clear" w:color="auto" w:fill="auto"/>
          </w:tcPr>
          <w:p w14:paraId="5B9FF6C8" w14:textId="77777777" w:rsidR="001579B1" w:rsidRDefault="001579B1" w:rsidP="00E56B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1D0B0990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3C12CF72" w14:textId="77777777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lastRenderedPageBreak/>
              <w:t>Type of Instruction</w:t>
            </w:r>
          </w:p>
        </w:tc>
        <w:tc>
          <w:tcPr>
            <w:tcW w:w="11970" w:type="dxa"/>
            <w:shd w:val="clear" w:color="auto" w:fill="auto"/>
          </w:tcPr>
          <w:p w14:paraId="38F15307" w14:textId="77777777" w:rsidR="001579B1" w:rsidRPr="009C0008" w:rsidRDefault="001579B1" w:rsidP="001579B1">
            <w:pPr>
              <w:ind w:left="216" w:hanging="216"/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6CA7FC80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4B7AA0DE" w14:textId="2E4634FC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Audience </w:t>
            </w:r>
            <w:r w:rsidR="00CA5759">
              <w:rPr>
                <w:rFonts w:ascii="Arial" w:hAnsi="Arial" w:cs="Arial"/>
                <w:b/>
                <w:sz w:val="20"/>
                <w:szCs w:val="20"/>
              </w:rPr>
              <w:t>Size &amp; Grouping</w:t>
            </w:r>
          </w:p>
        </w:tc>
        <w:tc>
          <w:tcPr>
            <w:tcW w:w="11970" w:type="dxa"/>
            <w:shd w:val="clear" w:color="auto" w:fill="auto"/>
          </w:tcPr>
          <w:p w14:paraId="03F1C1E4" w14:textId="77777777" w:rsidR="001579B1" w:rsidRPr="008B79C4" w:rsidRDefault="001579B1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A5759" w:rsidRPr="009C0008" w14:paraId="57530F15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55605D83" w14:textId="37DD88FA" w:rsidR="00CA5759" w:rsidRPr="00E56BB4" w:rsidRDefault="00CA5759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</w:p>
        </w:tc>
        <w:tc>
          <w:tcPr>
            <w:tcW w:w="11970" w:type="dxa"/>
            <w:shd w:val="clear" w:color="auto" w:fill="auto"/>
          </w:tcPr>
          <w:p w14:paraId="6CF03CA2" w14:textId="77777777" w:rsidR="00CA5759" w:rsidRPr="008B79C4" w:rsidRDefault="00CA5759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46E40176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038EBA70" w14:textId="6F1DFD23" w:rsidR="00820C95" w:rsidRPr="00E56BB4" w:rsidRDefault="00CA5759" w:rsidP="00CA5759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Assessment(s)</w:t>
            </w:r>
          </w:p>
        </w:tc>
        <w:tc>
          <w:tcPr>
            <w:tcW w:w="11970" w:type="dxa"/>
            <w:shd w:val="clear" w:color="auto" w:fill="auto"/>
          </w:tcPr>
          <w:p w14:paraId="2AE5A47C" w14:textId="2E2BA154" w:rsidR="001579B1" w:rsidRPr="008B79C4" w:rsidRDefault="001579B1" w:rsidP="00205646">
            <w:pPr>
              <w:ind w:left="216" w:hanging="216"/>
              <w:rPr>
                <w:rFonts w:ascii="Calibri" w:hAnsi="Calibri"/>
                <w:sz w:val="20"/>
                <w:szCs w:val="20"/>
              </w:rPr>
            </w:pPr>
          </w:p>
        </w:tc>
      </w:tr>
      <w:tr w:rsidR="00CA5759" w:rsidRPr="009C0008" w14:paraId="00A2A8D9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5387039" w14:textId="7D4D5449" w:rsidR="00CA5759" w:rsidRPr="00E56BB4" w:rsidRDefault="00CA5759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Learning Processes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11970" w:type="dxa"/>
            <w:shd w:val="clear" w:color="auto" w:fill="auto"/>
          </w:tcPr>
          <w:p w14:paraId="31360676" w14:textId="77777777" w:rsidR="00CA5759" w:rsidRPr="008B79C4" w:rsidRDefault="00CA5759" w:rsidP="00205646">
            <w:pPr>
              <w:ind w:left="216" w:hanging="216"/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0C7CC829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41DEA17D" w14:textId="77777777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Delivery </w:t>
            </w:r>
          </w:p>
          <w:p w14:paraId="14E60F08" w14:textId="77777777" w:rsidR="00E57078" w:rsidRPr="00E56BB4" w:rsidRDefault="00E57078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0" w:type="dxa"/>
            <w:shd w:val="clear" w:color="auto" w:fill="auto"/>
          </w:tcPr>
          <w:p w14:paraId="79DC1E21" w14:textId="4E44B72C" w:rsidR="001579B1" w:rsidRPr="008B79C4" w:rsidRDefault="001579B1" w:rsidP="00205646">
            <w:pPr>
              <w:ind w:left="216" w:hanging="216"/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7F26FFC1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2A177D3A" w14:textId="77777777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Instructional Technology</w:t>
            </w:r>
          </w:p>
        </w:tc>
        <w:tc>
          <w:tcPr>
            <w:tcW w:w="11970" w:type="dxa"/>
            <w:shd w:val="clear" w:color="auto" w:fill="auto"/>
          </w:tcPr>
          <w:p w14:paraId="3CB4CCF1" w14:textId="77777777" w:rsidR="001579B1" w:rsidRPr="00BA7BB2" w:rsidRDefault="001579B1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4015DF18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62E96E3" w14:textId="7B27D6A9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Delivery Method</w:t>
            </w:r>
            <w:r w:rsidR="00CA5759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 Technology</w:t>
            </w:r>
          </w:p>
        </w:tc>
        <w:tc>
          <w:tcPr>
            <w:tcW w:w="11970" w:type="dxa"/>
            <w:shd w:val="clear" w:color="auto" w:fill="auto"/>
          </w:tcPr>
          <w:p w14:paraId="5DEBF4A9" w14:textId="77777777" w:rsidR="001579B1" w:rsidRPr="009C0008" w:rsidRDefault="001579B1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7BE5133D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221C848C" w14:textId="77777777" w:rsidR="00820C95" w:rsidRPr="00E56BB4" w:rsidRDefault="00E57078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="00820C95" w:rsidRPr="00E56BB4">
              <w:rPr>
                <w:rFonts w:ascii="Arial" w:hAnsi="Arial" w:cs="Arial"/>
                <w:b/>
                <w:sz w:val="20"/>
                <w:szCs w:val="20"/>
              </w:rPr>
              <w:t>Length &amp; Lifespan</w:t>
            </w:r>
            <w:r w:rsidRPr="00E56BB4">
              <w:rPr>
                <w:rFonts w:ascii="Arial" w:hAnsi="Arial" w:cs="Arial"/>
                <w:b/>
                <w:sz w:val="20"/>
                <w:szCs w:val="20"/>
              </w:rPr>
              <w:t xml:space="preserve"> of Instruction</w:t>
            </w:r>
          </w:p>
        </w:tc>
        <w:tc>
          <w:tcPr>
            <w:tcW w:w="11970" w:type="dxa"/>
            <w:shd w:val="clear" w:color="auto" w:fill="auto"/>
          </w:tcPr>
          <w:p w14:paraId="690EE7F2" w14:textId="77777777" w:rsidR="001579B1" w:rsidRPr="008B79C4" w:rsidRDefault="001579B1" w:rsidP="00205646">
            <w:pPr>
              <w:tabs>
                <w:tab w:val="left" w:pos="144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558602FD" w14:textId="77777777" w:rsidTr="0036041E">
        <w:trPr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E2013AF" w14:textId="49B0B4AE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="00E57078" w:rsidRPr="00E56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7078" w:rsidRPr="00E56BB4">
              <w:rPr>
                <w:rFonts w:ascii="Arial" w:hAnsi="Arial" w:cs="Arial"/>
                <w:sz w:val="20"/>
                <w:szCs w:val="20"/>
              </w:rPr>
              <w:t>(Institutional, Instructional</w:t>
            </w:r>
            <w:r w:rsidR="00E56BB4">
              <w:rPr>
                <w:rFonts w:ascii="Arial" w:hAnsi="Arial" w:cs="Arial"/>
                <w:sz w:val="20"/>
                <w:szCs w:val="20"/>
              </w:rPr>
              <w:t>,</w:t>
            </w:r>
            <w:r w:rsidR="00E57078" w:rsidRPr="00E56BB4">
              <w:rPr>
                <w:rFonts w:ascii="Arial" w:hAnsi="Arial" w:cs="Arial"/>
                <w:sz w:val="20"/>
                <w:szCs w:val="20"/>
              </w:rPr>
              <w:t xml:space="preserve"> &amp; Technical)</w:t>
            </w:r>
          </w:p>
        </w:tc>
        <w:tc>
          <w:tcPr>
            <w:tcW w:w="11970" w:type="dxa"/>
            <w:shd w:val="clear" w:color="auto" w:fill="auto"/>
          </w:tcPr>
          <w:p w14:paraId="79F8B6B4" w14:textId="0B171794" w:rsidR="001579B1" w:rsidRPr="008B79C4" w:rsidRDefault="001579B1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0C95" w:rsidRPr="009C0008" w14:paraId="5F498D73" w14:textId="77777777" w:rsidTr="0036041E">
        <w:trPr>
          <w:trHeight w:val="864"/>
        </w:trPr>
        <w:tc>
          <w:tcPr>
            <w:tcW w:w="1710" w:type="dxa"/>
            <w:shd w:val="clear" w:color="auto" w:fill="auto"/>
            <w:vAlign w:val="center"/>
          </w:tcPr>
          <w:p w14:paraId="112D7775" w14:textId="77777777" w:rsidR="00820C95" w:rsidRPr="00E56BB4" w:rsidRDefault="00820C95" w:rsidP="00205646">
            <w:pPr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E56BB4">
              <w:rPr>
                <w:rFonts w:ascii="Arial" w:hAnsi="Arial" w:cs="Arial"/>
                <w:b/>
                <w:sz w:val="20"/>
                <w:szCs w:val="20"/>
              </w:rPr>
              <w:t>Instructor</w:t>
            </w:r>
            <w:r w:rsidR="00E57078" w:rsidRPr="00E56BB4">
              <w:rPr>
                <w:rFonts w:ascii="Arial" w:hAnsi="Arial" w:cs="Arial"/>
                <w:b/>
                <w:sz w:val="20"/>
                <w:szCs w:val="20"/>
              </w:rPr>
              <w:t>, Facilitator, Grader, etc.</w:t>
            </w:r>
          </w:p>
        </w:tc>
        <w:tc>
          <w:tcPr>
            <w:tcW w:w="11970" w:type="dxa"/>
            <w:shd w:val="clear" w:color="auto" w:fill="auto"/>
          </w:tcPr>
          <w:p w14:paraId="46845F51" w14:textId="77777777" w:rsidR="001579B1" w:rsidRPr="009C0008" w:rsidRDefault="001579B1" w:rsidP="0020564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057329" w14:textId="637025BE" w:rsidR="00820C95" w:rsidRPr="00227505" w:rsidRDefault="00820C95" w:rsidP="0070732E">
      <w:pPr>
        <w:tabs>
          <w:tab w:val="left" w:pos="7540"/>
        </w:tabs>
      </w:pPr>
    </w:p>
    <w:sectPr w:rsidR="00820C95" w:rsidRPr="00227505" w:rsidSect="00360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08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BF986" w14:textId="77777777" w:rsidR="009A6CAE" w:rsidRDefault="009A6CAE" w:rsidP="00622EE2">
      <w:r>
        <w:separator/>
      </w:r>
    </w:p>
  </w:endnote>
  <w:endnote w:type="continuationSeparator" w:id="0">
    <w:p w14:paraId="234444D8" w14:textId="77777777" w:rsidR="009A6CAE" w:rsidRDefault="009A6CAE" w:rsidP="006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ACBD8" w14:textId="77777777" w:rsidR="00FD3743" w:rsidRDefault="00FD3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37347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C66989B" w14:textId="77777777" w:rsidR="00622EE2" w:rsidRDefault="009A6CAE" w:rsidP="00622EE2">
            <w:pPr>
              <w:pStyle w:val="Foo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CA06BA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49" type="#_x0000_t32" style="position:absolute;margin-left:-.4pt;margin-top:6.45pt;width:684pt;height:0;z-index:251658240;mso-position-horizontal-relative:text;mso-position-vertical-relative:text" o:connectortype="straight" strokecolor="teal" strokeweight="1.5pt">
                  <v:shadow on="t" color="#396"/>
                </v:shape>
              </w:pict>
            </w:r>
          </w:p>
          <w:p w14:paraId="16F94D59" w14:textId="1C4E561B" w:rsidR="00622EE2" w:rsidRPr="00622EE2" w:rsidRDefault="00622EE2">
            <w:pPr>
              <w:pStyle w:val="Footer"/>
              <w:rPr>
                <w:sz w:val="20"/>
                <w:szCs w:val="20"/>
              </w:rPr>
            </w:pPr>
            <w:r w:rsidRPr="00645C8F">
              <w:rPr>
                <w:i/>
                <w:sz w:val="20"/>
                <w:szCs w:val="20"/>
              </w:rPr>
              <w:t>Streamlined ID</w:t>
            </w:r>
            <w:r w:rsidRPr="00645C8F">
              <w:rPr>
                <w:sz w:val="20"/>
                <w:szCs w:val="20"/>
              </w:rPr>
              <w:t xml:space="preserve"> </w:t>
            </w:r>
            <w:r w:rsidR="0070732E">
              <w:rPr>
                <w:sz w:val="20"/>
                <w:szCs w:val="20"/>
              </w:rPr>
              <w:t>(2</w:t>
            </w:r>
            <w:r w:rsidR="0070732E" w:rsidRPr="0070732E">
              <w:rPr>
                <w:sz w:val="20"/>
                <w:szCs w:val="20"/>
                <w:vertAlign w:val="superscript"/>
              </w:rPr>
              <w:t>nd</w:t>
            </w:r>
            <w:r w:rsidR="0070732E">
              <w:rPr>
                <w:sz w:val="20"/>
                <w:szCs w:val="20"/>
              </w:rPr>
              <w:t xml:space="preserve"> edition, 2020) </w:t>
            </w:r>
            <w:r w:rsidRPr="00645C8F">
              <w:rPr>
                <w:sz w:val="20"/>
                <w:szCs w:val="20"/>
              </w:rPr>
              <w:t xml:space="preserve">– Chapter </w:t>
            </w:r>
            <w:r w:rsidR="00FD3743">
              <w:rPr>
                <w:sz w:val="20"/>
                <w:szCs w:val="20"/>
              </w:rPr>
              <w:t xml:space="preserve">4 </w:t>
            </w:r>
            <w:r w:rsidR="0070732E">
              <w:rPr>
                <w:sz w:val="20"/>
                <w:szCs w:val="20"/>
              </w:rPr>
              <w:t>Website Resources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6394">
              <w:rPr>
                <w:sz w:val="20"/>
                <w:szCs w:val="20"/>
              </w:rPr>
              <w:tab/>
            </w:r>
            <w:r w:rsidRPr="00645C8F">
              <w:rPr>
                <w:sz w:val="20"/>
                <w:szCs w:val="20"/>
              </w:rPr>
              <w:t xml:space="preserve">Page </w:t>
            </w:r>
            <w:r w:rsidR="00B3343A" w:rsidRPr="00645C8F">
              <w:rPr>
                <w:b/>
                <w:sz w:val="20"/>
                <w:szCs w:val="20"/>
              </w:rPr>
              <w:fldChar w:fldCharType="begin"/>
            </w:r>
            <w:r w:rsidRPr="00645C8F">
              <w:rPr>
                <w:b/>
                <w:sz w:val="20"/>
                <w:szCs w:val="20"/>
              </w:rPr>
              <w:instrText xml:space="preserve"> PAGE </w:instrText>
            </w:r>
            <w:r w:rsidR="00B3343A" w:rsidRPr="00645C8F">
              <w:rPr>
                <w:b/>
                <w:sz w:val="20"/>
                <w:szCs w:val="20"/>
              </w:rPr>
              <w:fldChar w:fldCharType="separate"/>
            </w:r>
            <w:r w:rsidR="005B73AE">
              <w:rPr>
                <w:b/>
                <w:noProof/>
                <w:sz w:val="20"/>
                <w:szCs w:val="20"/>
              </w:rPr>
              <w:t>1</w:t>
            </w:r>
            <w:r w:rsidR="00B3343A" w:rsidRPr="00645C8F">
              <w:rPr>
                <w:b/>
                <w:sz w:val="20"/>
                <w:szCs w:val="20"/>
              </w:rPr>
              <w:fldChar w:fldCharType="end"/>
            </w:r>
            <w:r w:rsidRPr="00645C8F">
              <w:rPr>
                <w:sz w:val="20"/>
                <w:szCs w:val="20"/>
              </w:rPr>
              <w:t xml:space="preserve"> of </w:t>
            </w:r>
            <w:r w:rsidR="00B3343A" w:rsidRPr="00645C8F">
              <w:rPr>
                <w:b/>
                <w:sz w:val="20"/>
                <w:szCs w:val="20"/>
              </w:rPr>
              <w:fldChar w:fldCharType="begin"/>
            </w:r>
            <w:r w:rsidRPr="00645C8F">
              <w:rPr>
                <w:b/>
                <w:sz w:val="20"/>
                <w:szCs w:val="20"/>
              </w:rPr>
              <w:instrText xml:space="preserve"> NUMPAGES  </w:instrText>
            </w:r>
            <w:r w:rsidR="00B3343A" w:rsidRPr="00645C8F">
              <w:rPr>
                <w:b/>
                <w:sz w:val="20"/>
                <w:szCs w:val="20"/>
              </w:rPr>
              <w:fldChar w:fldCharType="separate"/>
            </w:r>
            <w:r w:rsidR="005B73AE">
              <w:rPr>
                <w:b/>
                <w:noProof/>
                <w:sz w:val="20"/>
                <w:szCs w:val="20"/>
              </w:rPr>
              <w:t>2</w:t>
            </w:r>
            <w:r w:rsidR="00B3343A" w:rsidRPr="00645C8F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C3B34" w14:textId="77777777" w:rsidR="00FD3743" w:rsidRDefault="00FD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41C3" w14:textId="77777777" w:rsidR="009A6CAE" w:rsidRDefault="009A6CAE" w:rsidP="00622EE2">
      <w:r>
        <w:separator/>
      </w:r>
    </w:p>
  </w:footnote>
  <w:footnote w:type="continuationSeparator" w:id="0">
    <w:p w14:paraId="54C36102" w14:textId="77777777" w:rsidR="009A6CAE" w:rsidRDefault="009A6CAE" w:rsidP="0062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4FB38" w14:textId="77777777" w:rsidR="00FD3743" w:rsidRDefault="00FD3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A7B5" w14:textId="1C12A7AB" w:rsidR="00E56BB4" w:rsidRDefault="00E56BB4" w:rsidP="00E56BB4">
    <w:pPr>
      <w:jc w:val="right"/>
      <w:rPr>
        <w:b/>
        <w:sz w:val="28"/>
        <w:szCs w:val="28"/>
      </w:rPr>
    </w:pPr>
    <w:r>
      <w:rPr>
        <w:noProof/>
      </w:rPr>
      <w:drawing>
        <wp:inline distT="0" distB="0" distL="0" distR="0" wp14:anchorId="12B70797" wp14:editId="22E02E49">
          <wp:extent cx="8134350" cy="861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amlined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9737" w14:textId="77777777" w:rsidR="00FD3743" w:rsidRDefault="00FD3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CF"/>
    <w:rsid w:val="0003508E"/>
    <w:rsid w:val="000A2423"/>
    <w:rsid w:val="001042CF"/>
    <w:rsid w:val="00144DB1"/>
    <w:rsid w:val="001579B1"/>
    <w:rsid w:val="001C2ADD"/>
    <w:rsid w:val="001E2B9D"/>
    <w:rsid w:val="00205646"/>
    <w:rsid w:val="00227505"/>
    <w:rsid w:val="0036041E"/>
    <w:rsid w:val="0036061B"/>
    <w:rsid w:val="004B3A6B"/>
    <w:rsid w:val="005B73AE"/>
    <w:rsid w:val="005C5E27"/>
    <w:rsid w:val="005F2417"/>
    <w:rsid w:val="00622EE2"/>
    <w:rsid w:val="00642321"/>
    <w:rsid w:val="0070732E"/>
    <w:rsid w:val="00727E90"/>
    <w:rsid w:val="00786394"/>
    <w:rsid w:val="00820C95"/>
    <w:rsid w:val="00896B39"/>
    <w:rsid w:val="008B79C4"/>
    <w:rsid w:val="009451E6"/>
    <w:rsid w:val="009A6CAE"/>
    <w:rsid w:val="009D3F7B"/>
    <w:rsid w:val="00A70D93"/>
    <w:rsid w:val="00B3343A"/>
    <w:rsid w:val="00BB2D8B"/>
    <w:rsid w:val="00CA5759"/>
    <w:rsid w:val="00D56991"/>
    <w:rsid w:val="00E06F03"/>
    <w:rsid w:val="00E52491"/>
    <w:rsid w:val="00E52728"/>
    <w:rsid w:val="00E56BB4"/>
    <w:rsid w:val="00E57078"/>
    <w:rsid w:val="00EF78D3"/>
    <w:rsid w:val="00F80E02"/>
    <w:rsid w:val="00FB2A81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91F495"/>
  <w15:docId w15:val="{6174197E-252C-4ABA-A3F0-25CD960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93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A70D93"/>
    <w:pPr>
      <w:spacing w:before="100" w:beforeAutospacing="1" w:after="100" w:afterAutospacing="1"/>
      <w:outlineLvl w:val="0"/>
    </w:pPr>
    <w:rPr>
      <w:b/>
      <w:kern w:val="36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D93"/>
    <w:rPr>
      <w:b/>
      <w:kern w:val="36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99"/>
    <w:qFormat/>
    <w:rsid w:val="00A70D93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70D93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A70D93"/>
    <w:pPr>
      <w:ind w:left="720"/>
      <w:contextualSpacing/>
    </w:pPr>
  </w:style>
  <w:style w:type="paragraph" w:customStyle="1" w:styleId="Style1">
    <w:name w:val="Style1"/>
    <w:basedOn w:val="Heading2"/>
    <w:qFormat/>
    <w:rsid w:val="00A70D93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62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E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76AF1CB5672449E8E4B1315BFBA29" ma:contentTypeVersion="13" ma:contentTypeDescription="Create a new document." ma:contentTypeScope="" ma:versionID="b338848f52350325d16d6930771021cd">
  <xsd:schema xmlns:xsd="http://www.w3.org/2001/XMLSchema" xmlns:xs="http://www.w3.org/2001/XMLSchema" xmlns:p="http://schemas.microsoft.com/office/2006/metadata/properties" xmlns:ns2="3ea9f5f5-594d-44f3-8a20-750771dbf02b" xmlns:ns3="996aceff-cf93-471e-b5cd-8d01316bb703" targetNamespace="http://schemas.microsoft.com/office/2006/metadata/properties" ma:root="true" ma:fieldsID="40e19fb87c24d2924fd230a6d920a77f" ns2:_="" ns3:_="">
    <xsd:import namespace="3ea9f5f5-594d-44f3-8a20-750771dbf02b"/>
    <xsd:import namespace="996aceff-cf93-471e-b5cd-8d01316bb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9f5f5-594d-44f3-8a20-750771dbf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aceff-cf93-471e-b5cd-8d01316bb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209C8-69C4-4D29-AB9E-08AEBACB2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E41F1-99B6-4619-B49A-72D682923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FD0E0-E8C7-4CD7-A2B6-3D4F7134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9f5f5-594d-44f3-8a20-750771dbf02b"/>
    <ds:schemaRef ds:uri="996aceff-cf93-471e-b5cd-8d01316bb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Tsamparlis, Katherine</cp:lastModifiedBy>
  <cp:revision>11</cp:revision>
  <dcterms:created xsi:type="dcterms:W3CDTF">2013-03-09T12:34:00Z</dcterms:created>
  <dcterms:modified xsi:type="dcterms:W3CDTF">2021-12-27T21:14:00Z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0x010100A0176AF1CB5672449E8E4B1315BFBA29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2021-12-27T21:14:25Z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6380c59a-8fb8-4026-b56b-c4a180702e7a</vt:lpwstr>
  </property>
  <property fmtid="{D5CDD505-2E9C-101B-9397-08002B2CF9AE}" pid="9" name="MSIP_Label_2bbab825-a111-45e4-86a1-18cee0005896_ContentBits">
    <vt:lpwstr>2</vt:lpwstr>
  </property>
</Properties>
</file>