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18353" w14:textId="77777777" w:rsidR="0026222A" w:rsidRPr="00D3193C" w:rsidRDefault="0026222A" w:rsidP="00D3193C">
      <w:pPr>
        <w:spacing w:after="0" w:line="240" w:lineRule="auto"/>
        <w:rPr>
          <w:b/>
          <w:bCs/>
          <w:sz w:val="28"/>
          <w:szCs w:val="28"/>
        </w:rPr>
      </w:pPr>
    </w:p>
    <w:tbl>
      <w:tblPr>
        <w:tblStyle w:val="TableGrid"/>
        <w:tblW w:w="14312" w:type="dxa"/>
        <w:tblLook w:val="04A0" w:firstRow="1" w:lastRow="0" w:firstColumn="1" w:lastColumn="0" w:noHBand="0" w:noVBand="1"/>
      </w:tblPr>
      <w:tblGrid>
        <w:gridCol w:w="14312"/>
      </w:tblGrid>
      <w:tr w:rsidR="00456272" w:rsidRPr="00D11553" w14:paraId="796390E7" w14:textId="77777777" w:rsidTr="00ED3E14">
        <w:tc>
          <w:tcPr>
            <w:tcW w:w="14312" w:type="dxa"/>
            <w:tcBorders>
              <w:bottom w:val="single" w:sz="4" w:space="0" w:color="auto"/>
            </w:tcBorders>
          </w:tcPr>
          <w:p w14:paraId="2FD7458A" w14:textId="5F9F4C86" w:rsidR="009A38E6" w:rsidRPr="006555ED" w:rsidRDefault="00456272" w:rsidP="005754A5">
            <w:pPr>
              <w:jc w:val="center"/>
              <w:rPr>
                <w:i/>
                <w:iCs/>
                <w:sz w:val="28"/>
                <w:szCs w:val="28"/>
              </w:rPr>
            </w:pPr>
            <w:r w:rsidRPr="006555ED">
              <w:rPr>
                <w:b/>
                <w:bCs/>
                <w:sz w:val="28"/>
                <w:szCs w:val="28"/>
              </w:rPr>
              <w:t>Overview</w:t>
            </w:r>
            <w:r w:rsidR="009A38E6" w:rsidRPr="006555ED">
              <w:rPr>
                <w:b/>
                <w:bCs/>
                <w:sz w:val="28"/>
                <w:szCs w:val="28"/>
              </w:rPr>
              <w:t xml:space="preserve">, </w:t>
            </w:r>
            <w:r w:rsidRPr="006555ED">
              <w:rPr>
                <w:b/>
                <w:bCs/>
                <w:sz w:val="28"/>
                <w:szCs w:val="28"/>
              </w:rPr>
              <w:t xml:space="preserve">Link </w:t>
            </w:r>
            <w:r w:rsidR="009A38E6" w:rsidRPr="006555ED">
              <w:rPr>
                <w:b/>
                <w:bCs/>
                <w:sz w:val="28"/>
                <w:szCs w:val="28"/>
              </w:rPr>
              <w:t>and brief description</w:t>
            </w:r>
            <w:r w:rsidR="009A38E6" w:rsidRPr="006555ED">
              <w:rPr>
                <w:i/>
                <w:iCs/>
                <w:sz w:val="28"/>
                <w:szCs w:val="28"/>
              </w:rPr>
              <w:t xml:space="preserve"> (correct as </w:t>
            </w:r>
            <w:proofErr w:type="gramStart"/>
            <w:r w:rsidR="009A38E6" w:rsidRPr="006555ED">
              <w:rPr>
                <w:i/>
                <w:iCs/>
                <w:sz w:val="28"/>
                <w:szCs w:val="28"/>
              </w:rPr>
              <w:t>at</w:t>
            </w:r>
            <w:proofErr w:type="gramEnd"/>
            <w:r w:rsidR="009A38E6" w:rsidRPr="006555ED">
              <w:rPr>
                <w:i/>
                <w:iCs/>
                <w:sz w:val="28"/>
                <w:szCs w:val="28"/>
              </w:rPr>
              <w:t xml:space="preserve"> June 2023)</w:t>
            </w:r>
          </w:p>
          <w:p w14:paraId="4602EDA4" w14:textId="710D8C96" w:rsidR="009A38E6" w:rsidRPr="006555ED" w:rsidRDefault="009A38E6" w:rsidP="009A38E6">
            <w:pPr>
              <w:rPr>
                <w:i/>
                <w:iCs/>
                <w:sz w:val="28"/>
                <w:szCs w:val="28"/>
              </w:rPr>
            </w:pPr>
          </w:p>
        </w:tc>
      </w:tr>
      <w:tr w:rsidR="000E67FA" w:rsidRPr="00D11553" w14:paraId="66BF0C80" w14:textId="77777777" w:rsidTr="00ED3E14">
        <w:tc>
          <w:tcPr>
            <w:tcW w:w="14312" w:type="dxa"/>
            <w:tcBorders>
              <w:bottom w:val="nil"/>
            </w:tcBorders>
          </w:tcPr>
          <w:p w14:paraId="5C7564A8" w14:textId="6BE63C94" w:rsidR="000E67FA" w:rsidRPr="00D11553" w:rsidRDefault="000E67FA" w:rsidP="000E67FA">
            <w:pPr>
              <w:rPr>
                <w:sz w:val="24"/>
                <w:szCs w:val="24"/>
              </w:rPr>
            </w:pPr>
            <w:r w:rsidRPr="00D11553">
              <w:rPr>
                <w:b/>
                <w:bCs/>
                <w:sz w:val="24"/>
                <w:szCs w:val="24"/>
              </w:rPr>
              <w:t>OECD</w:t>
            </w:r>
            <w:r w:rsidR="00FB1882" w:rsidRPr="00D11553">
              <w:rPr>
                <w:b/>
                <w:bCs/>
                <w:sz w:val="24"/>
                <w:szCs w:val="24"/>
              </w:rPr>
              <w:t xml:space="preserve"> </w:t>
            </w:r>
            <w:r w:rsidR="00FB1882" w:rsidRPr="00D11553">
              <w:rPr>
                <w:sz w:val="24"/>
                <w:szCs w:val="24"/>
              </w:rPr>
              <w:t>(Learning Compass 2030)</w:t>
            </w:r>
          </w:p>
          <w:p w14:paraId="44425373" w14:textId="77777777" w:rsidR="000E67FA" w:rsidRPr="00D11553" w:rsidRDefault="00886A29" w:rsidP="00D84830">
            <w:pPr>
              <w:rPr>
                <w:rStyle w:val="Hyperlink"/>
                <w:sz w:val="24"/>
                <w:szCs w:val="24"/>
              </w:rPr>
            </w:pPr>
            <w:hyperlink r:id="rId7" w:history="1">
              <w:r w:rsidR="000E67FA" w:rsidRPr="00D11553">
                <w:rPr>
                  <w:rStyle w:val="Hyperlink"/>
                  <w:sz w:val="24"/>
                  <w:szCs w:val="24"/>
                </w:rPr>
                <w:t>https://www.oecd.org/education/2030-project/teaching-and-learning/learning/transformative-competencies/</w:t>
              </w:r>
            </w:hyperlink>
          </w:p>
          <w:p w14:paraId="7AFA1330" w14:textId="1FA2D140" w:rsidR="002D7E80" w:rsidRPr="00D11553" w:rsidRDefault="002D7E80" w:rsidP="00D84830">
            <w:pPr>
              <w:rPr>
                <w:sz w:val="24"/>
                <w:szCs w:val="24"/>
              </w:rPr>
            </w:pPr>
          </w:p>
        </w:tc>
      </w:tr>
      <w:tr w:rsidR="000E67FA" w:rsidRPr="00D11553" w14:paraId="797E1BC3" w14:textId="77777777" w:rsidTr="00ED3E14">
        <w:tc>
          <w:tcPr>
            <w:tcW w:w="14312" w:type="dxa"/>
            <w:tcBorders>
              <w:top w:val="nil"/>
              <w:bottom w:val="single" w:sz="4" w:space="0" w:color="auto"/>
            </w:tcBorders>
          </w:tcPr>
          <w:p w14:paraId="34D6F9B7" w14:textId="73052B22" w:rsidR="000E67FA" w:rsidRPr="00D11553" w:rsidRDefault="00163568" w:rsidP="009E5D49">
            <w:pPr>
              <w:rPr>
                <w:sz w:val="24"/>
                <w:szCs w:val="24"/>
              </w:rPr>
            </w:pPr>
            <w:r w:rsidRPr="00D11553">
              <w:rPr>
                <w:sz w:val="24"/>
                <w:szCs w:val="24"/>
              </w:rPr>
              <w:t>“</w:t>
            </w:r>
            <w:r w:rsidR="000E67FA" w:rsidRPr="00D11553">
              <w:rPr>
                <w:sz w:val="24"/>
                <w:szCs w:val="24"/>
              </w:rPr>
              <w:t>To meet the challenges of the 21st century, students need to be empowered and feel that they can aspire to help shape a world where well-being and sustainability – for</w:t>
            </w:r>
            <w:r w:rsidR="009E5D49" w:rsidRPr="00D11553">
              <w:rPr>
                <w:sz w:val="24"/>
                <w:szCs w:val="24"/>
              </w:rPr>
              <w:t xml:space="preserve"> </w:t>
            </w:r>
            <w:r w:rsidR="000E67FA" w:rsidRPr="00D11553">
              <w:rPr>
                <w:sz w:val="24"/>
                <w:szCs w:val="24"/>
              </w:rPr>
              <w:t xml:space="preserve">themselves, for others, and for the planet – is achievable. </w:t>
            </w:r>
            <w:r w:rsidR="00705F97" w:rsidRPr="00D11553">
              <w:rPr>
                <w:sz w:val="24"/>
                <w:szCs w:val="24"/>
              </w:rPr>
              <w:br/>
            </w:r>
            <w:r w:rsidR="000E67FA" w:rsidRPr="00D11553">
              <w:rPr>
                <w:sz w:val="24"/>
                <w:szCs w:val="24"/>
              </w:rPr>
              <w:t xml:space="preserve">The OECD Learning Compass 2030 has identified three “transformative competencies” that students need in order to contribute to and thrive in our </w:t>
            </w:r>
            <w:proofErr w:type="gramStart"/>
            <w:r w:rsidR="000E67FA" w:rsidRPr="00D11553">
              <w:rPr>
                <w:sz w:val="24"/>
                <w:szCs w:val="24"/>
              </w:rPr>
              <w:t>world, and</w:t>
            </w:r>
            <w:proofErr w:type="gramEnd"/>
            <w:r w:rsidR="000E67FA" w:rsidRPr="00D11553">
              <w:rPr>
                <w:sz w:val="24"/>
                <w:szCs w:val="24"/>
              </w:rPr>
              <w:t xml:space="preserve"> shape a better future.</w:t>
            </w:r>
            <w:r w:rsidRPr="00D11553">
              <w:rPr>
                <w:sz w:val="24"/>
                <w:szCs w:val="24"/>
              </w:rPr>
              <w:t>”</w:t>
            </w:r>
          </w:p>
          <w:p w14:paraId="1C5B66A9" w14:textId="135B68FA" w:rsidR="0026222A" w:rsidRPr="00D11553" w:rsidRDefault="0026222A" w:rsidP="009E5D49">
            <w:pPr>
              <w:rPr>
                <w:sz w:val="24"/>
                <w:szCs w:val="24"/>
              </w:rPr>
            </w:pPr>
          </w:p>
        </w:tc>
      </w:tr>
      <w:tr w:rsidR="000E67FA" w:rsidRPr="00D11553" w14:paraId="27D6C1F0" w14:textId="77777777" w:rsidTr="00ED3E14">
        <w:tc>
          <w:tcPr>
            <w:tcW w:w="14312" w:type="dxa"/>
            <w:tcBorders>
              <w:bottom w:val="nil"/>
            </w:tcBorders>
          </w:tcPr>
          <w:p w14:paraId="3418ECB6" w14:textId="77777777" w:rsidR="000E67FA" w:rsidRPr="00D11553" w:rsidRDefault="000E67FA" w:rsidP="00C44934">
            <w:pPr>
              <w:rPr>
                <w:b/>
                <w:bCs/>
                <w:sz w:val="24"/>
                <w:szCs w:val="24"/>
              </w:rPr>
            </w:pPr>
            <w:r w:rsidRPr="00D11553">
              <w:rPr>
                <w:b/>
                <w:bCs/>
                <w:sz w:val="24"/>
                <w:szCs w:val="24"/>
              </w:rPr>
              <w:t>OECD</w:t>
            </w:r>
          </w:p>
          <w:p w14:paraId="060BB5B8" w14:textId="172FEC38" w:rsidR="002D7E80" w:rsidRPr="00D11553" w:rsidRDefault="00886A29" w:rsidP="00EE15C1">
            <w:pPr>
              <w:pStyle w:val="ListParagraph"/>
              <w:numPr>
                <w:ilvl w:val="0"/>
                <w:numId w:val="1"/>
              </w:numPr>
              <w:rPr>
                <w:sz w:val="24"/>
                <w:szCs w:val="24"/>
              </w:rPr>
            </w:pPr>
            <w:hyperlink r:id="rId8" w:history="1">
              <w:r w:rsidR="000E67FA" w:rsidRPr="00D11553">
                <w:rPr>
                  <w:rStyle w:val="Hyperlink"/>
                  <w:sz w:val="24"/>
                  <w:szCs w:val="24"/>
                </w:rPr>
                <w:t>https://www.oecd.org/publications/young-people-s-environmental-sustainability-competence-1097a78c-en.htm</w:t>
              </w:r>
            </w:hyperlink>
            <w:r w:rsidR="000E67FA" w:rsidRPr="00D11553">
              <w:rPr>
                <w:sz w:val="24"/>
                <w:szCs w:val="24"/>
              </w:rPr>
              <w:t xml:space="preserve"> </w:t>
            </w:r>
          </w:p>
          <w:p w14:paraId="631E98BF" w14:textId="64B0FB71" w:rsidR="00EE15C1" w:rsidRPr="00D11553" w:rsidRDefault="00886A29" w:rsidP="00EE15C1">
            <w:pPr>
              <w:pStyle w:val="ListParagraph"/>
              <w:numPr>
                <w:ilvl w:val="0"/>
                <w:numId w:val="1"/>
              </w:numPr>
              <w:rPr>
                <w:sz w:val="24"/>
                <w:szCs w:val="24"/>
              </w:rPr>
            </w:pPr>
            <w:hyperlink r:id="rId9" w:history="1">
              <w:r w:rsidR="000C6814" w:rsidRPr="00D11553">
                <w:rPr>
                  <w:rStyle w:val="Hyperlink"/>
                  <w:sz w:val="24"/>
                  <w:szCs w:val="24"/>
                </w:rPr>
                <w:t>https://www.oecd.org/publications/the-environmental-sustainability-competence-toolbox-27991ec0-en.htm</w:t>
              </w:r>
            </w:hyperlink>
            <w:r w:rsidR="000C6814" w:rsidRPr="00D11553">
              <w:rPr>
                <w:sz w:val="24"/>
                <w:szCs w:val="24"/>
              </w:rPr>
              <w:t xml:space="preserve"> </w:t>
            </w:r>
          </w:p>
        </w:tc>
      </w:tr>
      <w:tr w:rsidR="000E67FA" w:rsidRPr="00D11553" w14:paraId="0D0A645D" w14:textId="77777777" w:rsidTr="00ED3E14">
        <w:tc>
          <w:tcPr>
            <w:tcW w:w="14312" w:type="dxa"/>
            <w:tcBorders>
              <w:top w:val="nil"/>
              <w:bottom w:val="single" w:sz="4" w:space="0" w:color="auto"/>
            </w:tcBorders>
          </w:tcPr>
          <w:p w14:paraId="6DDE5ED2" w14:textId="77777777" w:rsidR="00EE15C1" w:rsidRPr="00D11553" w:rsidRDefault="00EE15C1" w:rsidP="00EE15C1">
            <w:pPr>
              <w:rPr>
                <w:sz w:val="24"/>
                <w:szCs w:val="24"/>
              </w:rPr>
            </w:pPr>
          </w:p>
          <w:p w14:paraId="7CDE7513" w14:textId="07ADB487" w:rsidR="000C09C5" w:rsidRPr="00D11553" w:rsidRDefault="000C09C5" w:rsidP="00EE15C1">
            <w:pPr>
              <w:rPr>
                <w:sz w:val="24"/>
                <w:szCs w:val="24"/>
              </w:rPr>
            </w:pPr>
            <w:r w:rsidRPr="00D11553">
              <w:rPr>
                <w:sz w:val="24"/>
                <w:szCs w:val="24"/>
              </w:rPr>
              <w:t xml:space="preserve">These papers are the results of a collaboration between the </w:t>
            </w:r>
            <w:r w:rsidRPr="00D11553">
              <w:rPr>
                <w:b/>
                <w:bCs/>
                <w:sz w:val="24"/>
                <w:szCs w:val="24"/>
              </w:rPr>
              <w:t>OECD Centre for Skills</w:t>
            </w:r>
            <w:r w:rsidRPr="00D11553">
              <w:rPr>
                <w:sz w:val="24"/>
                <w:szCs w:val="24"/>
              </w:rPr>
              <w:t xml:space="preserve"> and the </w:t>
            </w:r>
            <w:r w:rsidRPr="00D11553">
              <w:rPr>
                <w:b/>
                <w:bCs/>
                <w:sz w:val="24"/>
                <w:szCs w:val="24"/>
              </w:rPr>
              <w:t>European Commission - Joint Research Centre</w:t>
            </w:r>
            <w:r w:rsidRPr="00D11553">
              <w:rPr>
                <w:sz w:val="24"/>
                <w:szCs w:val="24"/>
              </w:rPr>
              <w:t xml:space="preserve"> (Unit B4) on students’ environmental sustainability competence.</w:t>
            </w:r>
            <w:r w:rsidR="00BC7B09" w:rsidRPr="00D11553">
              <w:rPr>
                <w:sz w:val="24"/>
                <w:szCs w:val="24"/>
              </w:rPr>
              <w:t xml:space="preserve"> Both are dated September 2022.</w:t>
            </w:r>
          </w:p>
          <w:p w14:paraId="4E1B0E95" w14:textId="77777777" w:rsidR="000C09C5" w:rsidRPr="00D11553" w:rsidRDefault="000C09C5" w:rsidP="00EE15C1">
            <w:pPr>
              <w:rPr>
                <w:sz w:val="24"/>
                <w:szCs w:val="24"/>
              </w:rPr>
            </w:pPr>
          </w:p>
          <w:p w14:paraId="645520B8" w14:textId="092E4937" w:rsidR="00637ED3" w:rsidRPr="00637ED3" w:rsidRDefault="00A51A5D" w:rsidP="00EE15C1">
            <w:pPr>
              <w:rPr>
                <w:rFonts w:ascii="Helvetica" w:eastAsia="Times New Roman" w:hAnsi="Helvetica" w:cs="Times New Roman"/>
                <w:b/>
                <w:bCs/>
                <w:i/>
                <w:iCs/>
                <w:color w:val="111111"/>
                <w:sz w:val="24"/>
                <w:szCs w:val="24"/>
              </w:rPr>
            </w:pPr>
            <w:r w:rsidRPr="00D11553">
              <w:rPr>
                <w:sz w:val="24"/>
                <w:szCs w:val="24"/>
              </w:rPr>
              <w:t>Th</w:t>
            </w:r>
            <w:r w:rsidR="00EE15C1" w:rsidRPr="00D11553">
              <w:rPr>
                <w:sz w:val="24"/>
                <w:szCs w:val="24"/>
              </w:rPr>
              <w:t xml:space="preserve">e first </w:t>
            </w:r>
            <w:r w:rsidRPr="00D11553">
              <w:rPr>
                <w:sz w:val="24"/>
                <w:szCs w:val="24"/>
              </w:rPr>
              <w:t xml:space="preserve">maps </w:t>
            </w:r>
            <w:r w:rsidRPr="00D11553">
              <w:rPr>
                <w:b/>
                <w:bCs/>
                <w:sz w:val="24"/>
                <w:szCs w:val="24"/>
              </w:rPr>
              <w:t>young people’s environmental sustainability competence</w:t>
            </w:r>
            <w:r w:rsidRPr="00D11553">
              <w:rPr>
                <w:sz w:val="24"/>
                <w:szCs w:val="24"/>
              </w:rPr>
              <w:t xml:space="preserve"> in EU and OECD countries</w:t>
            </w:r>
            <w:r w:rsidR="00F55CF2" w:rsidRPr="00D11553">
              <w:rPr>
                <w:sz w:val="24"/>
                <w:szCs w:val="24"/>
              </w:rPr>
              <w:t>, “</w:t>
            </w:r>
            <w:r w:rsidRPr="00D11553">
              <w:rPr>
                <w:sz w:val="24"/>
                <w:szCs w:val="24"/>
              </w:rPr>
              <w:t>prepared as background for the forthcoming OECD Skills Outlook 2023 publication</w:t>
            </w:r>
            <w:r w:rsidR="00F55CF2" w:rsidRPr="00D11553">
              <w:rPr>
                <w:sz w:val="24"/>
                <w:szCs w:val="24"/>
              </w:rPr>
              <w:t>”</w:t>
            </w:r>
            <w:r w:rsidRPr="00D11553">
              <w:rPr>
                <w:sz w:val="24"/>
                <w:szCs w:val="24"/>
              </w:rPr>
              <w:t xml:space="preserve">. </w:t>
            </w:r>
            <w:r w:rsidR="00705F97" w:rsidRPr="00D11553">
              <w:rPr>
                <w:sz w:val="24"/>
                <w:szCs w:val="24"/>
              </w:rPr>
              <w:br/>
            </w:r>
            <w:r w:rsidR="00637ED3" w:rsidRPr="00D11553">
              <w:rPr>
                <w:sz w:val="24"/>
                <w:szCs w:val="24"/>
              </w:rPr>
              <w:t>The second is</w:t>
            </w:r>
            <w:r w:rsidR="00EE15C1" w:rsidRPr="00D11553">
              <w:rPr>
                <w:sz w:val="24"/>
                <w:szCs w:val="24"/>
              </w:rPr>
              <w:t xml:space="preserve">: </w:t>
            </w:r>
            <w:r w:rsidR="00EE15C1" w:rsidRPr="00D11553">
              <w:rPr>
                <w:b/>
                <w:bCs/>
                <w:sz w:val="24"/>
                <w:szCs w:val="24"/>
              </w:rPr>
              <w:t xml:space="preserve">The environmental sustainability competence toolbox - </w:t>
            </w:r>
            <w:r w:rsidR="00EE15C1" w:rsidRPr="00637ED3">
              <w:rPr>
                <w:b/>
                <w:bCs/>
                <w:sz w:val="24"/>
                <w:szCs w:val="24"/>
              </w:rPr>
              <w:t>From leaving a better planet for our children to leaving better children for our plane</w:t>
            </w:r>
            <w:r w:rsidR="00EE15C1" w:rsidRPr="00D11553">
              <w:rPr>
                <w:b/>
                <w:bCs/>
                <w:sz w:val="24"/>
                <w:szCs w:val="24"/>
              </w:rPr>
              <w:t>t.</w:t>
            </w:r>
          </w:p>
          <w:p w14:paraId="7BFF526F" w14:textId="3636B27B" w:rsidR="0026222A" w:rsidRPr="00D11553" w:rsidRDefault="0026222A" w:rsidP="00A51A5D">
            <w:pPr>
              <w:rPr>
                <w:sz w:val="24"/>
                <w:szCs w:val="24"/>
              </w:rPr>
            </w:pPr>
          </w:p>
        </w:tc>
      </w:tr>
      <w:tr w:rsidR="000E67FA" w:rsidRPr="00D11553" w14:paraId="6FFEE5ED" w14:textId="77777777" w:rsidTr="00ED3E14">
        <w:tc>
          <w:tcPr>
            <w:tcW w:w="14312" w:type="dxa"/>
            <w:tcBorders>
              <w:bottom w:val="nil"/>
            </w:tcBorders>
          </w:tcPr>
          <w:p w14:paraId="755BF05E" w14:textId="0027750A" w:rsidR="000E67FA" w:rsidRPr="00D11553" w:rsidRDefault="000E67FA" w:rsidP="00E543B1">
            <w:pPr>
              <w:rPr>
                <w:b/>
                <w:bCs/>
                <w:sz w:val="24"/>
                <w:szCs w:val="24"/>
              </w:rPr>
            </w:pPr>
            <w:r w:rsidRPr="00D11553">
              <w:rPr>
                <w:b/>
                <w:bCs/>
                <w:sz w:val="24"/>
                <w:szCs w:val="24"/>
              </w:rPr>
              <w:t>UNECE</w:t>
            </w:r>
            <w:r w:rsidR="009E5D49" w:rsidRPr="00D11553">
              <w:rPr>
                <w:b/>
                <w:bCs/>
                <w:sz w:val="24"/>
                <w:szCs w:val="24"/>
              </w:rPr>
              <w:t xml:space="preserve"> </w:t>
            </w:r>
            <w:r w:rsidR="009E5D49" w:rsidRPr="00D11553">
              <w:rPr>
                <w:sz w:val="24"/>
                <w:szCs w:val="24"/>
              </w:rPr>
              <w:t>(</w:t>
            </w:r>
            <w:r w:rsidR="001E3479" w:rsidRPr="00D11553">
              <w:rPr>
                <w:sz w:val="24"/>
                <w:szCs w:val="24"/>
              </w:rPr>
              <w:t xml:space="preserve">United Nations Economic Commission for Europe) - </w:t>
            </w:r>
          </w:p>
          <w:p w14:paraId="5786EA14" w14:textId="77777777" w:rsidR="000E67FA" w:rsidRPr="00D11553" w:rsidRDefault="00886A29" w:rsidP="009E5D49">
            <w:pPr>
              <w:rPr>
                <w:sz w:val="24"/>
                <w:szCs w:val="24"/>
              </w:rPr>
            </w:pPr>
            <w:hyperlink r:id="rId10" w:history="1">
              <w:r w:rsidR="000E67FA" w:rsidRPr="00D11553">
                <w:rPr>
                  <w:rStyle w:val="Hyperlink"/>
                  <w:sz w:val="24"/>
                  <w:szCs w:val="24"/>
                </w:rPr>
                <w:t>https://unece.org/fileadmin/DAM/env/esd/ESD_Publications/Competences_Publication.pdf</w:t>
              </w:r>
            </w:hyperlink>
            <w:r w:rsidR="000E67FA" w:rsidRPr="00D11553">
              <w:rPr>
                <w:sz w:val="24"/>
                <w:szCs w:val="24"/>
              </w:rPr>
              <w:t xml:space="preserve"> </w:t>
            </w:r>
          </w:p>
          <w:p w14:paraId="4FB1B879" w14:textId="519B8D41" w:rsidR="002D7E80" w:rsidRPr="00D11553" w:rsidRDefault="002D7E80" w:rsidP="009E5D49">
            <w:pPr>
              <w:rPr>
                <w:sz w:val="24"/>
                <w:szCs w:val="24"/>
              </w:rPr>
            </w:pPr>
          </w:p>
        </w:tc>
      </w:tr>
      <w:tr w:rsidR="000E67FA" w:rsidRPr="00D11553" w14:paraId="787E7FEA" w14:textId="77777777" w:rsidTr="00ED3E14">
        <w:tc>
          <w:tcPr>
            <w:tcW w:w="14312" w:type="dxa"/>
            <w:tcBorders>
              <w:top w:val="nil"/>
              <w:bottom w:val="single" w:sz="4" w:space="0" w:color="auto"/>
            </w:tcBorders>
          </w:tcPr>
          <w:p w14:paraId="2430835D" w14:textId="763C4B01" w:rsidR="00E543B1" w:rsidRPr="00D11553" w:rsidRDefault="00E543B1" w:rsidP="00E543B1">
            <w:pPr>
              <w:rPr>
                <w:b/>
                <w:bCs/>
                <w:sz w:val="24"/>
                <w:szCs w:val="24"/>
              </w:rPr>
            </w:pPr>
            <w:r w:rsidRPr="00D11553">
              <w:rPr>
                <w:b/>
                <w:bCs/>
                <w:sz w:val="24"/>
                <w:szCs w:val="24"/>
              </w:rPr>
              <w:t xml:space="preserve">Learning for the Future - Competences in Education for Sustainable Development. </w:t>
            </w:r>
          </w:p>
          <w:p w14:paraId="5EFFFC59" w14:textId="14778669" w:rsidR="000E67FA" w:rsidRPr="00D11553" w:rsidRDefault="00AD32F2" w:rsidP="009E5D49">
            <w:pPr>
              <w:rPr>
                <w:sz w:val="24"/>
                <w:szCs w:val="24"/>
              </w:rPr>
            </w:pPr>
            <w:r w:rsidRPr="00D11553">
              <w:rPr>
                <w:sz w:val="24"/>
                <w:szCs w:val="24"/>
              </w:rPr>
              <w:t xml:space="preserve">The competences in ESD described </w:t>
            </w:r>
            <w:r w:rsidR="00705F97" w:rsidRPr="00D11553">
              <w:rPr>
                <w:sz w:val="24"/>
                <w:szCs w:val="24"/>
              </w:rPr>
              <w:t xml:space="preserve">in the above link </w:t>
            </w:r>
            <w:r w:rsidRPr="00D11553">
              <w:rPr>
                <w:sz w:val="24"/>
                <w:szCs w:val="24"/>
              </w:rPr>
              <w:t>are for educators</w:t>
            </w:r>
            <w:r w:rsidR="00E8483A">
              <w:rPr>
                <w:sz w:val="24"/>
                <w:szCs w:val="24"/>
              </w:rPr>
              <w:t>, rather than learners</w:t>
            </w:r>
            <w:r w:rsidR="00337A23" w:rsidRPr="00D11553">
              <w:rPr>
                <w:sz w:val="24"/>
                <w:szCs w:val="24"/>
              </w:rPr>
              <w:t>; t</w:t>
            </w:r>
            <w:r w:rsidRPr="00D11553">
              <w:rPr>
                <w:sz w:val="24"/>
                <w:szCs w:val="24"/>
              </w:rPr>
              <w:t>hey go beyond the competences that individual educators would have in order to provide a good quality education in their discipline</w:t>
            </w:r>
            <w:r w:rsidR="0031455E" w:rsidRPr="00D11553">
              <w:rPr>
                <w:sz w:val="24"/>
                <w:szCs w:val="24"/>
              </w:rPr>
              <w:t xml:space="preserve"> (see p7).</w:t>
            </w:r>
          </w:p>
          <w:p w14:paraId="6CE71787" w14:textId="56D25B28" w:rsidR="0026222A" w:rsidRPr="00D11553" w:rsidRDefault="0026222A" w:rsidP="009E5D49">
            <w:pPr>
              <w:rPr>
                <w:sz w:val="24"/>
                <w:szCs w:val="24"/>
              </w:rPr>
            </w:pPr>
          </w:p>
        </w:tc>
      </w:tr>
    </w:tbl>
    <w:p w14:paraId="62F5971D" w14:textId="77777777" w:rsidR="0031455E" w:rsidRPr="00D11553" w:rsidRDefault="0031455E">
      <w:pPr>
        <w:rPr>
          <w:sz w:val="24"/>
          <w:szCs w:val="24"/>
        </w:rPr>
      </w:pPr>
      <w:r w:rsidRPr="00D11553">
        <w:rPr>
          <w:sz w:val="24"/>
          <w:szCs w:val="24"/>
        </w:rPr>
        <w:br w:type="page"/>
      </w:r>
    </w:p>
    <w:p w14:paraId="58A13197" w14:textId="77777777" w:rsidR="0031455E" w:rsidRPr="00D11553" w:rsidRDefault="0031455E">
      <w:pPr>
        <w:rPr>
          <w:sz w:val="24"/>
          <w:szCs w:val="24"/>
        </w:rPr>
      </w:pPr>
    </w:p>
    <w:tbl>
      <w:tblPr>
        <w:tblStyle w:val="TableGrid"/>
        <w:tblW w:w="14312" w:type="dxa"/>
        <w:tblLook w:val="04A0" w:firstRow="1" w:lastRow="0" w:firstColumn="1" w:lastColumn="0" w:noHBand="0" w:noVBand="1"/>
      </w:tblPr>
      <w:tblGrid>
        <w:gridCol w:w="14312"/>
      </w:tblGrid>
      <w:tr w:rsidR="000E67FA" w:rsidRPr="00D11553" w14:paraId="4C933D67" w14:textId="77777777" w:rsidTr="00ED3E14">
        <w:tc>
          <w:tcPr>
            <w:tcW w:w="14312" w:type="dxa"/>
            <w:tcBorders>
              <w:bottom w:val="nil"/>
            </w:tcBorders>
          </w:tcPr>
          <w:p w14:paraId="4A596C1A" w14:textId="77D0DBC1" w:rsidR="000E67FA" w:rsidRPr="00D11553" w:rsidRDefault="000E67FA" w:rsidP="00B651A8">
            <w:pPr>
              <w:rPr>
                <w:b/>
                <w:bCs/>
                <w:sz w:val="24"/>
                <w:szCs w:val="24"/>
              </w:rPr>
            </w:pPr>
            <w:r w:rsidRPr="00D11553">
              <w:rPr>
                <w:b/>
                <w:bCs/>
                <w:sz w:val="24"/>
                <w:szCs w:val="24"/>
              </w:rPr>
              <w:t>EU GREEN COMP</w:t>
            </w:r>
          </w:p>
          <w:p w14:paraId="3331528F" w14:textId="77777777" w:rsidR="000E67FA" w:rsidRPr="00D11553" w:rsidRDefault="00886A29">
            <w:pPr>
              <w:rPr>
                <w:sz w:val="24"/>
                <w:szCs w:val="24"/>
              </w:rPr>
            </w:pPr>
            <w:hyperlink r:id="rId11" w:history="1">
              <w:r w:rsidR="000E67FA" w:rsidRPr="00D11553">
                <w:rPr>
                  <w:rStyle w:val="Hyperlink"/>
                  <w:sz w:val="24"/>
                  <w:szCs w:val="24"/>
                </w:rPr>
                <w:t>https://joint-research-centre.ec.europa.eu/greencomp-european-sustainability-competence-framework_en</w:t>
              </w:r>
            </w:hyperlink>
            <w:r w:rsidR="000E67FA" w:rsidRPr="00D11553">
              <w:rPr>
                <w:sz w:val="24"/>
                <w:szCs w:val="24"/>
              </w:rPr>
              <w:t xml:space="preserve"> </w:t>
            </w:r>
          </w:p>
          <w:p w14:paraId="1DA7E1EF" w14:textId="6DCED795" w:rsidR="002D7E80" w:rsidRPr="00D11553" w:rsidRDefault="002D7E80">
            <w:pPr>
              <w:rPr>
                <w:sz w:val="24"/>
                <w:szCs w:val="24"/>
              </w:rPr>
            </w:pPr>
          </w:p>
        </w:tc>
      </w:tr>
      <w:tr w:rsidR="000E67FA" w:rsidRPr="00D11553" w14:paraId="7768502A" w14:textId="77777777" w:rsidTr="00ED3E14">
        <w:tc>
          <w:tcPr>
            <w:tcW w:w="14312" w:type="dxa"/>
            <w:tcBorders>
              <w:top w:val="nil"/>
            </w:tcBorders>
          </w:tcPr>
          <w:p w14:paraId="5CF07453" w14:textId="108BE90F" w:rsidR="00AD32F2" w:rsidRDefault="005F4745" w:rsidP="00705F97">
            <w:pPr>
              <w:rPr>
                <w:sz w:val="24"/>
                <w:szCs w:val="24"/>
              </w:rPr>
            </w:pPr>
            <w:r>
              <w:rPr>
                <w:sz w:val="24"/>
                <w:szCs w:val="24"/>
              </w:rPr>
              <w:t>“</w:t>
            </w:r>
            <w:proofErr w:type="spellStart"/>
            <w:r w:rsidR="00AD32F2" w:rsidRPr="00D11553">
              <w:rPr>
                <w:sz w:val="24"/>
                <w:szCs w:val="24"/>
              </w:rPr>
              <w:t>GreenComp</w:t>
            </w:r>
            <w:proofErr w:type="spellEnd"/>
            <w:r w:rsidR="00AD32F2" w:rsidRPr="00D11553">
              <w:rPr>
                <w:sz w:val="24"/>
                <w:szCs w:val="24"/>
              </w:rPr>
              <w:t xml:space="preserve"> is a reference framework for sustainability competences</w:t>
            </w:r>
            <w:r w:rsidR="00D11553" w:rsidRPr="00D11553">
              <w:rPr>
                <w:sz w:val="24"/>
                <w:szCs w:val="24"/>
              </w:rPr>
              <w:t>, in Europe</w:t>
            </w:r>
            <w:r w:rsidR="00AD32F2" w:rsidRPr="00D11553">
              <w:rPr>
                <w:sz w:val="24"/>
                <w:szCs w:val="24"/>
              </w:rPr>
              <w:t>. It provides a common ground to learners and guidance to educators, advancing a consensual definition of what sustainability as a competence entails.</w:t>
            </w:r>
          </w:p>
          <w:p w14:paraId="48BC6182" w14:textId="1888E86E" w:rsidR="00790543" w:rsidRPr="00D11553" w:rsidRDefault="00790543" w:rsidP="00AD3547">
            <w:pPr>
              <w:spacing w:before="240"/>
              <w:rPr>
                <w:sz w:val="24"/>
                <w:szCs w:val="24"/>
              </w:rPr>
            </w:pPr>
            <w:r w:rsidRPr="00790543">
              <w:rPr>
                <w:sz w:val="24"/>
                <w:szCs w:val="24"/>
              </w:rPr>
              <w:t>Sustainability competences can help learners become systemic and critical thinkers, as well as develop agency, and form a knowledge basis for everyone who cares about our planet’s present and future state</w:t>
            </w:r>
            <w:r w:rsidR="00AD3547">
              <w:rPr>
                <w:sz w:val="24"/>
                <w:szCs w:val="24"/>
              </w:rPr>
              <w:t>.”</w:t>
            </w:r>
          </w:p>
          <w:p w14:paraId="5C31A3DE" w14:textId="77777777" w:rsidR="000E67FA" w:rsidRPr="00D11553" w:rsidRDefault="000E67FA" w:rsidP="006449F9">
            <w:pPr>
              <w:rPr>
                <w:sz w:val="24"/>
                <w:szCs w:val="24"/>
              </w:rPr>
            </w:pPr>
          </w:p>
        </w:tc>
      </w:tr>
      <w:tr w:rsidR="000E67FA" w:rsidRPr="00D11553" w14:paraId="57733A19" w14:textId="77777777" w:rsidTr="00ED3E14">
        <w:tc>
          <w:tcPr>
            <w:tcW w:w="14312" w:type="dxa"/>
            <w:tcBorders>
              <w:bottom w:val="nil"/>
            </w:tcBorders>
          </w:tcPr>
          <w:p w14:paraId="6CB91BFA" w14:textId="4FCAD0AC" w:rsidR="000E67FA" w:rsidRPr="00D11553" w:rsidRDefault="000E67FA" w:rsidP="00896156">
            <w:pPr>
              <w:rPr>
                <w:sz w:val="24"/>
                <w:szCs w:val="24"/>
              </w:rPr>
            </w:pPr>
            <w:r w:rsidRPr="00D11553">
              <w:rPr>
                <w:b/>
                <w:bCs/>
                <w:sz w:val="24"/>
                <w:szCs w:val="24"/>
              </w:rPr>
              <w:t xml:space="preserve">QAA / ADVANCE HE </w:t>
            </w:r>
            <w:r w:rsidR="004E589E">
              <w:rPr>
                <w:b/>
                <w:bCs/>
                <w:sz w:val="24"/>
                <w:szCs w:val="24"/>
              </w:rPr>
              <w:t xml:space="preserve">- </w:t>
            </w:r>
            <w:r w:rsidR="004E589E" w:rsidRPr="004E589E">
              <w:rPr>
                <w:b/>
                <w:bCs/>
                <w:sz w:val="24"/>
                <w:szCs w:val="24"/>
              </w:rPr>
              <w:t>Education for Sustainable Development Guidance (2021)</w:t>
            </w:r>
          </w:p>
          <w:p w14:paraId="56A5C178" w14:textId="77777777" w:rsidR="000E67FA" w:rsidRPr="00D11553" w:rsidRDefault="00886A29">
            <w:pPr>
              <w:rPr>
                <w:sz w:val="24"/>
                <w:szCs w:val="24"/>
              </w:rPr>
            </w:pPr>
            <w:hyperlink r:id="rId12" w:history="1">
              <w:r w:rsidR="000E67FA" w:rsidRPr="00D11553">
                <w:rPr>
                  <w:rStyle w:val="Hyperlink"/>
                  <w:sz w:val="24"/>
                  <w:szCs w:val="24"/>
                </w:rPr>
                <w:t>https://www.qaa.ac.uk/the-quality-code/education-for-sustainable-development</w:t>
              </w:r>
            </w:hyperlink>
            <w:r w:rsidR="000E67FA" w:rsidRPr="00D11553">
              <w:rPr>
                <w:sz w:val="24"/>
                <w:szCs w:val="24"/>
              </w:rPr>
              <w:t xml:space="preserve"> </w:t>
            </w:r>
          </w:p>
          <w:p w14:paraId="22C76B7C" w14:textId="0639134A" w:rsidR="002D7E80" w:rsidRPr="00D11553" w:rsidRDefault="002D7E80">
            <w:pPr>
              <w:rPr>
                <w:sz w:val="24"/>
                <w:szCs w:val="24"/>
              </w:rPr>
            </w:pPr>
          </w:p>
        </w:tc>
      </w:tr>
      <w:tr w:rsidR="0026222A" w:rsidRPr="00D11553" w14:paraId="29AC3E79" w14:textId="77777777" w:rsidTr="00ED3E14">
        <w:trPr>
          <w:trHeight w:val="127"/>
        </w:trPr>
        <w:tc>
          <w:tcPr>
            <w:tcW w:w="14312" w:type="dxa"/>
            <w:tcBorders>
              <w:top w:val="nil"/>
              <w:bottom w:val="single" w:sz="4" w:space="0" w:color="auto"/>
            </w:tcBorders>
          </w:tcPr>
          <w:p w14:paraId="47334236" w14:textId="49225CA3" w:rsidR="006555ED" w:rsidRDefault="004E589E" w:rsidP="0026222A">
            <w:pPr>
              <w:rPr>
                <w:sz w:val="24"/>
                <w:szCs w:val="24"/>
              </w:rPr>
            </w:pPr>
            <w:r>
              <w:rPr>
                <w:sz w:val="24"/>
                <w:szCs w:val="24"/>
              </w:rPr>
              <w:t>“</w:t>
            </w:r>
            <w:r w:rsidR="0026222A" w:rsidRPr="00D11553">
              <w:rPr>
                <w:sz w:val="24"/>
                <w:szCs w:val="24"/>
              </w:rPr>
              <w:t>In March 2021, QAA and Advance HE launched revised guidance intended to help UK higher education institutions incorporate ESD within their curricula, following on from the first edition in 2014.</w:t>
            </w:r>
            <w:r w:rsidR="00ED3E14">
              <w:rPr>
                <w:sz w:val="24"/>
                <w:szCs w:val="24"/>
              </w:rPr>
              <w:t>”</w:t>
            </w:r>
            <w:r w:rsidR="0026222A" w:rsidRPr="00D11553">
              <w:rPr>
                <w:sz w:val="24"/>
                <w:szCs w:val="24"/>
              </w:rPr>
              <w:t xml:space="preserve"> </w:t>
            </w:r>
          </w:p>
          <w:p w14:paraId="0D3339C1" w14:textId="77777777" w:rsidR="006555ED" w:rsidRDefault="006555ED" w:rsidP="0026222A">
            <w:pPr>
              <w:rPr>
                <w:sz w:val="24"/>
                <w:szCs w:val="24"/>
              </w:rPr>
            </w:pPr>
          </w:p>
          <w:p w14:paraId="298D915A" w14:textId="7C767D06" w:rsidR="0026222A" w:rsidRPr="00D11553" w:rsidRDefault="00ED3E14" w:rsidP="0026222A">
            <w:pPr>
              <w:rPr>
                <w:sz w:val="24"/>
                <w:szCs w:val="24"/>
              </w:rPr>
            </w:pPr>
            <w:r>
              <w:rPr>
                <w:sz w:val="24"/>
                <w:szCs w:val="24"/>
              </w:rPr>
              <w:t>“</w:t>
            </w:r>
            <w:r w:rsidR="0026222A" w:rsidRPr="00D11553">
              <w:rPr>
                <w:sz w:val="24"/>
                <w:szCs w:val="24"/>
              </w:rPr>
              <w:t>QAA and Advance HE brought together a group of experts representing academic, business and student communities, with the aim of supporting all students to acquire the skills necessary to develop values and take actions to transition society towards a sustainable future. The guidance gives advice and support on curriculum design, as well as teaching, learning and assessment approaches.</w:t>
            </w:r>
            <w:r>
              <w:rPr>
                <w:sz w:val="24"/>
                <w:szCs w:val="24"/>
              </w:rPr>
              <w:t>”</w:t>
            </w:r>
          </w:p>
          <w:p w14:paraId="0A1D860C" w14:textId="77777777" w:rsidR="0026222A" w:rsidRPr="00D11553" w:rsidRDefault="0026222A" w:rsidP="000E67FA">
            <w:pPr>
              <w:rPr>
                <w:b/>
                <w:bCs/>
                <w:sz w:val="24"/>
                <w:szCs w:val="24"/>
              </w:rPr>
            </w:pPr>
          </w:p>
        </w:tc>
      </w:tr>
      <w:tr w:rsidR="000E67FA" w:rsidRPr="00D11553" w14:paraId="3CE71177" w14:textId="77777777" w:rsidTr="00ED3E14">
        <w:trPr>
          <w:trHeight w:val="127"/>
        </w:trPr>
        <w:tc>
          <w:tcPr>
            <w:tcW w:w="14312" w:type="dxa"/>
            <w:tcBorders>
              <w:bottom w:val="nil"/>
            </w:tcBorders>
          </w:tcPr>
          <w:p w14:paraId="4C296193" w14:textId="276ACBA8" w:rsidR="000E67FA" w:rsidRPr="00D11553" w:rsidRDefault="000E67FA" w:rsidP="000E67FA">
            <w:pPr>
              <w:rPr>
                <w:sz w:val="24"/>
                <w:szCs w:val="24"/>
              </w:rPr>
            </w:pPr>
            <w:r w:rsidRPr="00D11553">
              <w:rPr>
                <w:b/>
                <w:bCs/>
                <w:sz w:val="24"/>
                <w:szCs w:val="24"/>
              </w:rPr>
              <w:t xml:space="preserve">QAA </w:t>
            </w:r>
            <w:r w:rsidR="00705F97" w:rsidRPr="00D11553">
              <w:rPr>
                <w:b/>
                <w:bCs/>
                <w:sz w:val="24"/>
                <w:szCs w:val="24"/>
              </w:rPr>
              <w:t>Subject Benchmark Statements</w:t>
            </w:r>
            <w:r w:rsidR="00705F97" w:rsidRPr="00D11553">
              <w:rPr>
                <w:sz w:val="24"/>
                <w:szCs w:val="24"/>
              </w:rPr>
              <w:t xml:space="preserve"> </w:t>
            </w:r>
          </w:p>
          <w:p w14:paraId="4FFC5DAF" w14:textId="77777777" w:rsidR="000E67FA" w:rsidRPr="00D11553" w:rsidRDefault="00886A29" w:rsidP="009E5D49">
            <w:pPr>
              <w:rPr>
                <w:rStyle w:val="Hyperlink"/>
                <w:sz w:val="24"/>
                <w:szCs w:val="24"/>
              </w:rPr>
            </w:pPr>
            <w:hyperlink r:id="rId13" w:history="1">
              <w:r w:rsidR="000E67FA" w:rsidRPr="00D11553">
                <w:rPr>
                  <w:rStyle w:val="Hyperlink"/>
                  <w:sz w:val="24"/>
                  <w:szCs w:val="24"/>
                </w:rPr>
                <w:t>https://www.qaa.ac.uk/the-quality-code/subject-benchmark-statements</w:t>
              </w:r>
            </w:hyperlink>
          </w:p>
          <w:p w14:paraId="54B4F34F" w14:textId="58550061" w:rsidR="002D7E80" w:rsidRPr="00D11553" w:rsidRDefault="002D7E80" w:rsidP="009E5D49">
            <w:pPr>
              <w:rPr>
                <w:b/>
                <w:bCs/>
                <w:sz w:val="24"/>
                <w:szCs w:val="24"/>
              </w:rPr>
            </w:pPr>
          </w:p>
        </w:tc>
      </w:tr>
      <w:tr w:rsidR="000E67FA" w:rsidRPr="00D11553" w14:paraId="69BB9B42" w14:textId="77777777" w:rsidTr="00ED3E14">
        <w:trPr>
          <w:trHeight w:val="127"/>
        </w:trPr>
        <w:tc>
          <w:tcPr>
            <w:tcW w:w="14312" w:type="dxa"/>
            <w:tcBorders>
              <w:top w:val="nil"/>
            </w:tcBorders>
          </w:tcPr>
          <w:p w14:paraId="377BBE9D" w14:textId="77777777" w:rsidR="00A94D59" w:rsidRDefault="000E67FA">
            <w:pPr>
              <w:rPr>
                <w:sz w:val="24"/>
                <w:szCs w:val="24"/>
              </w:rPr>
            </w:pPr>
            <w:r w:rsidRPr="00D11553">
              <w:rPr>
                <w:sz w:val="24"/>
                <w:szCs w:val="24"/>
              </w:rPr>
              <w:t>The benchmark statements are available for different subject disciplines and the recognition of QAA and Advance HE Guidance related to ESD (2021) can be noted</w:t>
            </w:r>
            <w:r w:rsidR="003D575B">
              <w:rPr>
                <w:sz w:val="24"/>
                <w:szCs w:val="24"/>
              </w:rPr>
              <w:t xml:space="preserve"> in the most recent versions</w:t>
            </w:r>
            <w:r w:rsidRPr="00D11553">
              <w:rPr>
                <w:sz w:val="24"/>
                <w:szCs w:val="24"/>
              </w:rPr>
              <w:t>.</w:t>
            </w:r>
            <w:r w:rsidR="00AD3547">
              <w:rPr>
                <w:sz w:val="24"/>
                <w:szCs w:val="24"/>
              </w:rPr>
              <w:t xml:space="preserve"> </w:t>
            </w:r>
          </w:p>
          <w:p w14:paraId="65DAFBC5" w14:textId="18455933" w:rsidR="000E67FA" w:rsidRPr="00D11553" w:rsidRDefault="003D575B">
            <w:pPr>
              <w:rPr>
                <w:sz w:val="24"/>
                <w:szCs w:val="24"/>
              </w:rPr>
            </w:pPr>
            <w:r>
              <w:rPr>
                <w:sz w:val="24"/>
                <w:szCs w:val="24"/>
              </w:rPr>
              <w:br/>
            </w:r>
            <w:r w:rsidR="00AD3547">
              <w:rPr>
                <w:sz w:val="24"/>
                <w:szCs w:val="24"/>
              </w:rPr>
              <w:t xml:space="preserve">Business &amp; Management (including master’s level) and Economics (UG) were updated in March 2023. </w:t>
            </w:r>
          </w:p>
          <w:p w14:paraId="4D0F945D" w14:textId="4F9A19C2" w:rsidR="0026222A" w:rsidRPr="00D11553" w:rsidRDefault="0026222A">
            <w:pPr>
              <w:rPr>
                <w:sz w:val="24"/>
                <w:szCs w:val="24"/>
              </w:rPr>
            </w:pPr>
          </w:p>
        </w:tc>
      </w:tr>
    </w:tbl>
    <w:p w14:paraId="5C328187" w14:textId="77777777" w:rsidR="003D575B" w:rsidRDefault="003D575B">
      <w:r>
        <w:br w:type="page"/>
      </w:r>
    </w:p>
    <w:p w14:paraId="495FD13D" w14:textId="00A15197" w:rsidR="003D575B" w:rsidRDefault="003D575B"/>
    <w:tbl>
      <w:tblPr>
        <w:tblStyle w:val="TableGrid"/>
        <w:tblW w:w="14312" w:type="dxa"/>
        <w:tblLook w:val="04A0" w:firstRow="1" w:lastRow="0" w:firstColumn="1" w:lastColumn="0" w:noHBand="0" w:noVBand="1"/>
      </w:tblPr>
      <w:tblGrid>
        <w:gridCol w:w="14312"/>
      </w:tblGrid>
      <w:tr w:rsidR="000E67FA" w:rsidRPr="00D11553" w14:paraId="49967A9E" w14:textId="77777777" w:rsidTr="00ED3E14">
        <w:tc>
          <w:tcPr>
            <w:tcW w:w="14312" w:type="dxa"/>
            <w:tcBorders>
              <w:bottom w:val="nil"/>
            </w:tcBorders>
          </w:tcPr>
          <w:p w14:paraId="308C19EC" w14:textId="4EC3D218" w:rsidR="000E67FA" w:rsidRPr="00D11553" w:rsidRDefault="000E67FA" w:rsidP="00303EB1">
            <w:pPr>
              <w:rPr>
                <w:b/>
                <w:bCs/>
                <w:sz w:val="24"/>
                <w:szCs w:val="24"/>
              </w:rPr>
            </w:pPr>
            <w:r w:rsidRPr="00D11553">
              <w:rPr>
                <w:b/>
                <w:bCs/>
                <w:sz w:val="24"/>
                <w:szCs w:val="24"/>
              </w:rPr>
              <w:t>Inner Development Goals (IDG)</w:t>
            </w:r>
          </w:p>
          <w:p w14:paraId="6EC8308C" w14:textId="10FB6BE4" w:rsidR="00A51A5D" w:rsidRPr="00D11553" w:rsidRDefault="00886A29" w:rsidP="00303EB1">
            <w:pPr>
              <w:rPr>
                <w:sz w:val="24"/>
                <w:szCs w:val="24"/>
              </w:rPr>
            </w:pPr>
            <w:hyperlink r:id="rId14" w:history="1">
              <w:r w:rsidR="00A51A5D" w:rsidRPr="00D11553">
                <w:rPr>
                  <w:rStyle w:val="Hyperlink"/>
                  <w:sz w:val="24"/>
                  <w:szCs w:val="24"/>
                </w:rPr>
                <w:t>https://www.innerdevelopmentgoals.org/</w:t>
              </w:r>
            </w:hyperlink>
          </w:p>
          <w:p w14:paraId="496F3023" w14:textId="593A66F1" w:rsidR="000E67FA" w:rsidRPr="00D11553" w:rsidRDefault="000E67FA" w:rsidP="00303EB1">
            <w:pPr>
              <w:rPr>
                <w:sz w:val="24"/>
                <w:szCs w:val="24"/>
              </w:rPr>
            </w:pPr>
          </w:p>
        </w:tc>
      </w:tr>
      <w:tr w:rsidR="00AD32F2" w:rsidRPr="00D11553" w14:paraId="1787A880" w14:textId="77777777" w:rsidTr="00ED3E14">
        <w:tc>
          <w:tcPr>
            <w:tcW w:w="14312" w:type="dxa"/>
            <w:tcBorders>
              <w:top w:val="nil"/>
              <w:bottom w:val="single" w:sz="4" w:space="0" w:color="auto"/>
            </w:tcBorders>
          </w:tcPr>
          <w:p w14:paraId="391933C2" w14:textId="3A4FF2CB" w:rsidR="004A02D3" w:rsidRPr="004A02D3" w:rsidRDefault="00140757" w:rsidP="004A02D3">
            <w:pPr>
              <w:rPr>
                <w:sz w:val="24"/>
                <w:szCs w:val="24"/>
              </w:rPr>
            </w:pPr>
            <w:r>
              <w:rPr>
                <w:b/>
                <w:bCs/>
                <w:sz w:val="24"/>
                <w:szCs w:val="24"/>
              </w:rPr>
              <w:t>“</w:t>
            </w:r>
            <w:r w:rsidR="004A02D3" w:rsidRPr="004A02D3">
              <w:rPr>
                <w:b/>
                <w:bCs/>
                <w:sz w:val="24"/>
                <w:szCs w:val="24"/>
              </w:rPr>
              <w:t>Inner Development Goals (IDGs)</w:t>
            </w:r>
            <w:r w:rsidR="004A02D3" w:rsidRPr="004A02D3">
              <w:rPr>
                <w:sz w:val="24"/>
                <w:szCs w:val="24"/>
              </w:rPr>
              <w:t xml:space="preserve"> is a non-profit organization for inner development. We research, collect and communicate science-based skills and qualities that help us to live purposeful, sustainable, and productive lives.</w:t>
            </w:r>
          </w:p>
          <w:p w14:paraId="16E374AB" w14:textId="4C39919E" w:rsidR="004A02D3" w:rsidRDefault="004A02D3" w:rsidP="004A02D3">
            <w:pPr>
              <w:rPr>
                <w:sz w:val="24"/>
                <w:szCs w:val="24"/>
              </w:rPr>
            </w:pPr>
            <w:r w:rsidRPr="004A02D3">
              <w:rPr>
                <w:sz w:val="24"/>
                <w:szCs w:val="24"/>
              </w:rPr>
              <w:t>The Inner Development Goals framework is fundamental in the work to reach the Sustainable Development Goals.</w:t>
            </w:r>
            <w:r w:rsidR="00140757">
              <w:rPr>
                <w:sz w:val="24"/>
                <w:szCs w:val="24"/>
              </w:rPr>
              <w:t>”</w:t>
            </w:r>
          </w:p>
          <w:p w14:paraId="6E6DB9C2" w14:textId="77777777" w:rsidR="00140757" w:rsidRPr="004A02D3" w:rsidRDefault="00140757" w:rsidP="004A02D3">
            <w:pPr>
              <w:rPr>
                <w:sz w:val="24"/>
                <w:szCs w:val="24"/>
              </w:rPr>
            </w:pPr>
          </w:p>
          <w:p w14:paraId="7096EB5C" w14:textId="48D8BC83" w:rsidR="00146C2E" w:rsidRPr="003647B0" w:rsidRDefault="003647B0" w:rsidP="003647B0">
            <w:pPr>
              <w:rPr>
                <w:sz w:val="24"/>
                <w:szCs w:val="24"/>
              </w:rPr>
            </w:pPr>
            <w:r>
              <w:rPr>
                <w:sz w:val="24"/>
                <w:szCs w:val="24"/>
              </w:rPr>
              <w:t>“</w:t>
            </w:r>
            <w:r w:rsidR="00AD32F2" w:rsidRPr="00D11553">
              <w:rPr>
                <w:sz w:val="24"/>
                <w:szCs w:val="24"/>
              </w:rPr>
              <w:t xml:space="preserve">In 2015, the Sustainable Development Goals produced a comprehensive plan for a sustainable world by 2030. The 17 goals cover a wide range of issues that involve people with different needs, values, and convictions. There is a vision of what needs to happen, but progress along this vision has so far been disappointing. </w:t>
            </w:r>
            <w:r>
              <w:rPr>
                <w:sz w:val="24"/>
                <w:szCs w:val="24"/>
              </w:rPr>
              <w:t>W</w:t>
            </w:r>
            <w:r w:rsidR="00AD32F2" w:rsidRPr="00D11553">
              <w:rPr>
                <w:sz w:val="24"/>
                <w:szCs w:val="24"/>
              </w:rPr>
              <w:t>e lack the inner capacity to deal with our increasingly complex environment and challenges. Fortunately, modern research shows that the inner abilities needed can be developed. This was the starting point for the ‘Inner Development Goals’ initiative.</w:t>
            </w:r>
            <w:r>
              <w:rPr>
                <w:sz w:val="24"/>
                <w:szCs w:val="24"/>
              </w:rPr>
              <w:t>”</w:t>
            </w:r>
          </w:p>
          <w:p w14:paraId="236291FF" w14:textId="69A81768" w:rsidR="003647B0" w:rsidRPr="00D11553" w:rsidRDefault="003647B0" w:rsidP="00303EB1">
            <w:pPr>
              <w:rPr>
                <w:sz w:val="24"/>
                <w:szCs w:val="24"/>
              </w:rPr>
            </w:pPr>
          </w:p>
        </w:tc>
      </w:tr>
      <w:tr w:rsidR="00AD32F2" w:rsidRPr="006555ED" w14:paraId="48F0FEAC" w14:textId="77777777" w:rsidTr="00ED3E14">
        <w:tc>
          <w:tcPr>
            <w:tcW w:w="14312" w:type="dxa"/>
            <w:tcBorders>
              <w:bottom w:val="nil"/>
            </w:tcBorders>
          </w:tcPr>
          <w:p w14:paraId="0C2A5729" w14:textId="750C9457" w:rsidR="00AD32F2" w:rsidRPr="006555ED" w:rsidRDefault="00456272" w:rsidP="008D0CFE">
            <w:pPr>
              <w:rPr>
                <w:b/>
                <w:bCs/>
                <w:sz w:val="24"/>
                <w:szCs w:val="24"/>
                <w:lang w:val="fr-FR"/>
              </w:rPr>
            </w:pPr>
            <w:proofErr w:type="spellStart"/>
            <w:r w:rsidRPr="006555ED">
              <w:rPr>
                <w:b/>
                <w:bCs/>
                <w:sz w:val="24"/>
                <w:szCs w:val="24"/>
                <w:lang w:val="fr-FR"/>
              </w:rPr>
              <w:t>EntreComp</w:t>
            </w:r>
            <w:proofErr w:type="spellEnd"/>
            <w:r w:rsidRPr="006555ED">
              <w:rPr>
                <w:b/>
                <w:bCs/>
                <w:sz w:val="24"/>
                <w:szCs w:val="24"/>
                <w:lang w:val="fr-FR"/>
              </w:rPr>
              <w:t xml:space="preserve"> </w:t>
            </w:r>
            <w:r w:rsidR="008D0CFE" w:rsidRPr="006555ED">
              <w:rPr>
                <w:b/>
                <w:bCs/>
                <w:sz w:val="24"/>
                <w:szCs w:val="24"/>
                <w:lang w:val="fr-FR"/>
              </w:rPr>
              <w:t xml:space="preserve">- The (EU) </w:t>
            </w:r>
            <w:proofErr w:type="spellStart"/>
            <w:r w:rsidR="008D0CFE" w:rsidRPr="006555ED">
              <w:rPr>
                <w:b/>
                <w:bCs/>
                <w:sz w:val="24"/>
                <w:szCs w:val="24"/>
                <w:lang w:val="fr-FR"/>
              </w:rPr>
              <w:t>entrepreneurship</w:t>
            </w:r>
            <w:proofErr w:type="spellEnd"/>
            <w:r w:rsidR="008D0CFE" w:rsidRPr="006555ED">
              <w:rPr>
                <w:b/>
                <w:bCs/>
                <w:sz w:val="24"/>
                <w:szCs w:val="24"/>
                <w:lang w:val="fr-FR"/>
              </w:rPr>
              <w:t xml:space="preserve"> </w:t>
            </w:r>
            <w:proofErr w:type="spellStart"/>
            <w:r w:rsidR="008D0CFE" w:rsidRPr="006555ED">
              <w:rPr>
                <w:b/>
                <w:bCs/>
                <w:sz w:val="24"/>
                <w:szCs w:val="24"/>
                <w:lang w:val="fr-FR"/>
              </w:rPr>
              <w:t>competence</w:t>
            </w:r>
            <w:proofErr w:type="spellEnd"/>
            <w:r w:rsidR="008D0CFE" w:rsidRPr="006555ED">
              <w:rPr>
                <w:b/>
                <w:bCs/>
                <w:sz w:val="24"/>
                <w:szCs w:val="24"/>
                <w:lang w:val="fr-FR"/>
              </w:rPr>
              <w:t xml:space="preserve"> </w:t>
            </w:r>
            <w:proofErr w:type="spellStart"/>
            <w:r w:rsidR="008D0CFE" w:rsidRPr="006555ED">
              <w:rPr>
                <w:b/>
                <w:bCs/>
                <w:sz w:val="24"/>
                <w:szCs w:val="24"/>
                <w:lang w:val="fr-FR"/>
              </w:rPr>
              <w:t>framework</w:t>
            </w:r>
            <w:proofErr w:type="spellEnd"/>
          </w:p>
          <w:p w14:paraId="2B142E40" w14:textId="77777777" w:rsidR="00AD32F2" w:rsidRPr="00D11553" w:rsidRDefault="00886A29" w:rsidP="00303EB1">
            <w:pPr>
              <w:rPr>
                <w:sz w:val="24"/>
                <w:szCs w:val="24"/>
                <w:lang w:val="fr-FR"/>
              </w:rPr>
            </w:pPr>
            <w:hyperlink r:id="rId15" w:history="1">
              <w:r w:rsidR="00AD32F2" w:rsidRPr="00D11553">
                <w:rPr>
                  <w:rStyle w:val="Hyperlink"/>
                  <w:sz w:val="24"/>
                  <w:szCs w:val="24"/>
                  <w:lang w:val="fr-FR"/>
                </w:rPr>
                <w:t>https://joint-research-centre.ec.europa.eu/entrecomp-entrepreneurship-competence-framework_en</w:t>
              </w:r>
            </w:hyperlink>
            <w:r w:rsidR="00AD32F2" w:rsidRPr="00D11553">
              <w:rPr>
                <w:sz w:val="24"/>
                <w:szCs w:val="24"/>
                <w:lang w:val="fr-FR"/>
              </w:rPr>
              <w:t xml:space="preserve"> </w:t>
            </w:r>
          </w:p>
          <w:p w14:paraId="13C35DC5" w14:textId="528DF59B" w:rsidR="002D7E80" w:rsidRPr="00D11553" w:rsidRDefault="002D7E80" w:rsidP="00303EB1">
            <w:pPr>
              <w:rPr>
                <w:sz w:val="24"/>
                <w:szCs w:val="24"/>
                <w:lang w:val="fr-FR"/>
              </w:rPr>
            </w:pPr>
          </w:p>
        </w:tc>
      </w:tr>
      <w:tr w:rsidR="00AD32F2" w:rsidRPr="00D11553" w14:paraId="2B21C4B1" w14:textId="77777777" w:rsidTr="00ED3E14">
        <w:tc>
          <w:tcPr>
            <w:tcW w:w="14312" w:type="dxa"/>
            <w:tcBorders>
              <w:top w:val="nil"/>
            </w:tcBorders>
          </w:tcPr>
          <w:p w14:paraId="202D141F" w14:textId="77777777" w:rsidR="00A309B4" w:rsidRDefault="00140F8B" w:rsidP="00A309B4">
            <w:pPr>
              <w:rPr>
                <w:sz w:val="24"/>
                <w:szCs w:val="24"/>
              </w:rPr>
            </w:pPr>
            <w:r>
              <w:rPr>
                <w:sz w:val="24"/>
                <w:szCs w:val="24"/>
              </w:rPr>
              <w:t>“</w:t>
            </w:r>
            <w:r w:rsidR="00C62A5A" w:rsidRPr="00C62A5A">
              <w:rPr>
                <w:sz w:val="24"/>
                <w:szCs w:val="24"/>
              </w:rPr>
              <w:t>The development of the entrepreneurial capacity of European citizens and organisations has been one of the key policy objectives for the EU and Member States for many years, and is one of the </w:t>
            </w:r>
            <w:hyperlink r:id="rId16" w:history="1">
              <w:r w:rsidR="00C62A5A" w:rsidRPr="00C62A5A">
                <w:rPr>
                  <w:sz w:val="24"/>
                  <w:szCs w:val="24"/>
                </w:rPr>
                <w:t>eight Key Competences for Lifelong learning</w:t>
              </w:r>
            </w:hyperlink>
            <w:r w:rsidR="00C62A5A" w:rsidRPr="00C62A5A">
              <w:rPr>
                <w:sz w:val="24"/>
                <w:szCs w:val="24"/>
              </w:rPr>
              <w:t>.</w:t>
            </w:r>
            <w:r w:rsidR="00A309B4">
              <w:rPr>
                <w:sz w:val="24"/>
                <w:szCs w:val="24"/>
              </w:rPr>
              <w:t xml:space="preserve"> </w:t>
            </w:r>
          </w:p>
          <w:p w14:paraId="356186C0" w14:textId="6A7E205E" w:rsidR="00140F8B" w:rsidRDefault="00C62A5A" w:rsidP="00A309B4">
            <w:pPr>
              <w:spacing w:before="240"/>
              <w:rPr>
                <w:sz w:val="24"/>
                <w:szCs w:val="24"/>
              </w:rPr>
            </w:pPr>
            <w:r w:rsidRPr="00C62A5A">
              <w:rPr>
                <w:sz w:val="24"/>
                <w:szCs w:val="24"/>
              </w:rPr>
              <w:t>The Joint Research Centre, in partnership with </w:t>
            </w:r>
            <w:hyperlink r:id="rId17" w:history="1">
              <w:r w:rsidRPr="00C62A5A">
                <w:rPr>
                  <w:sz w:val="24"/>
                  <w:szCs w:val="24"/>
                </w:rPr>
                <w:t>DG Employment, Social Affairs and Inclusion</w:t>
              </w:r>
            </w:hyperlink>
            <w:r w:rsidRPr="00C62A5A">
              <w:rPr>
                <w:sz w:val="24"/>
                <w:szCs w:val="24"/>
              </w:rPr>
              <w:t>, has developed </w:t>
            </w:r>
            <w:proofErr w:type="spellStart"/>
            <w:r w:rsidRPr="00C62A5A">
              <w:rPr>
                <w:sz w:val="24"/>
                <w:szCs w:val="24"/>
              </w:rPr>
              <w:fldChar w:fldCharType="begin"/>
            </w:r>
            <w:r w:rsidRPr="00C62A5A">
              <w:rPr>
                <w:sz w:val="24"/>
                <w:szCs w:val="24"/>
              </w:rPr>
              <w:instrText xml:space="preserve"> HYPERLINK "https://publications.jrc.ec.europa.eu/repository/handle/JRC101581" </w:instrText>
            </w:r>
            <w:r w:rsidRPr="00C62A5A">
              <w:rPr>
                <w:sz w:val="24"/>
                <w:szCs w:val="24"/>
              </w:rPr>
              <w:fldChar w:fldCharType="separate"/>
            </w:r>
            <w:r w:rsidRPr="00C62A5A">
              <w:rPr>
                <w:sz w:val="24"/>
                <w:szCs w:val="24"/>
              </w:rPr>
              <w:t>EntreComp</w:t>
            </w:r>
            <w:proofErr w:type="spellEnd"/>
            <w:r w:rsidRPr="00C62A5A">
              <w:rPr>
                <w:sz w:val="24"/>
                <w:szCs w:val="24"/>
              </w:rPr>
              <w:t>: The Entrepreneurship Competence Framework</w:t>
            </w:r>
            <w:r w:rsidRPr="00C62A5A">
              <w:rPr>
                <w:sz w:val="24"/>
                <w:szCs w:val="24"/>
              </w:rPr>
              <w:fldChar w:fldCharType="end"/>
            </w:r>
            <w:r w:rsidRPr="00C62A5A">
              <w:rPr>
                <w:sz w:val="24"/>
                <w:szCs w:val="24"/>
              </w:rPr>
              <w:t xml:space="preserve">. </w:t>
            </w:r>
            <w:proofErr w:type="spellStart"/>
            <w:r w:rsidRPr="00C62A5A">
              <w:rPr>
                <w:sz w:val="24"/>
                <w:szCs w:val="24"/>
              </w:rPr>
              <w:t>EntreComp</w:t>
            </w:r>
            <w:proofErr w:type="spellEnd"/>
            <w:r w:rsidRPr="00C62A5A">
              <w:rPr>
                <w:sz w:val="24"/>
                <w:szCs w:val="24"/>
              </w:rPr>
              <w:t xml:space="preserve"> describes entrepreneurship as a lifelong competence, identifies what are the elements that make someone entrepreneurial and describes them to establish a common reference for initiatives dealing with entrepreneurial learning.</w:t>
            </w:r>
            <w:r w:rsidR="00140F8B">
              <w:rPr>
                <w:sz w:val="24"/>
                <w:szCs w:val="24"/>
              </w:rPr>
              <w:t>” …</w:t>
            </w:r>
          </w:p>
          <w:p w14:paraId="367D75B7" w14:textId="77777777" w:rsidR="00C62A5A" w:rsidRDefault="00A309B4" w:rsidP="00A309B4">
            <w:pPr>
              <w:spacing w:before="240"/>
              <w:rPr>
                <w:sz w:val="24"/>
                <w:szCs w:val="24"/>
              </w:rPr>
            </w:pPr>
            <w:r>
              <w:rPr>
                <w:sz w:val="24"/>
                <w:szCs w:val="24"/>
              </w:rPr>
              <w:t>“</w:t>
            </w:r>
            <w:r w:rsidR="00C62A5A" w:rsidRPr="00C62A5A">
              <w:rPr>
                <w:sz w:val="24"/>
                <w:szCs w:val="24"/>
              </w:rPr>
              <w:t>Turning ideas into shared value is equally relevant to progressing one's career, supporting one's local sports team or establishing a new social enterprise. Entrepreneurial value creation and entrepreneurial learning can take place in any sphere of life.</w:t>
            </w:r>
            <w:r>
              <w:rPr>
                <w:sz w:val="24"/>
                <w:szCs w:val="24"/>
              </w:rPr>
              <w:t>”</w:t>
            </w:r>
          </w:p>
          <w:p w14:paraId="6465A96E" w14:textId="0E177F5B" w:rsidR="00A309B4" w:rsidRPr="00D11553" w:rsidRDefault="00A309B4" w:rsidP="00A309B4">
            <w:pPr>
              <w:rPr>
                <w:sz w:val="24"/>
                <w:szCs w:val="24"/>
              </w:rPr>
            </w:pPr>
          </w:p>
        </w:tc>
      </w:tr>
    </w:tbl>
    <w:p w14:paraId="68A553D9" w14:textId="298E896B" w:rsidR="00D84830" w:rsidRPr="00D11553" w:rsidRDefault="00D84830">
      <w:pPr>
        <w:rPr>
          <w:sz w:val="24"/>
          <w:szCs w:val="24"/>
        </w:rPr>
      </w:pPr>
    </w:p>
    <w:p w14:paraId="5C3AA2B0" w14:textId="77777777" w:rsidR="00D84830" w:rsidRPr="00D11553" w:rsidRDefault="00D84830">
      <w:pPr>
        <w:rPr>
          <w:sz w:val="24"/>
          <w:szCs w:val="24"/>
        </w:rPr>
      </w:pPr>
    </w:p>
    <w:sectPr w:rsidR="00D84830" w:rsidRPr="00D11553" w:rsidSect="0091053C">
      <w:headerReference w:type="default" r:id="rId18"/>
      <w:footerReference w:type="default" r:id="rId19"/>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EAD96" w14:textId="77777777" w:rsidR="00886A29" w:rsidRDefault="00886A29" w:rsidP="00C34250">
      <w:pPr>
        <w:spacing w:after="0" w:line="240" w:lineRule="auto"/>
      </w:pPr>
      <w:r>
        <w:separator/>
      </w:r>
    </w:p>
  </w:endnote>
  <w:endnote w:type="continuationSeparator" w:id="0">
    <w:p w14:paraId="6BCBAD71" w14:textId="77777777" w:rsidR="00886A29" w:rsidRDefault="00886A29" w:rsidP="00C34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D8995" w14:textId="2139134D" w:rsidR="0091053C" w:rsidRDefault="007269D9" w:rsidP="009C6004">
    <w:pPr>
      <w:pStyle w:val="Footer"/>
      <w:pBdr>
        <w:top w:val="single" w:sz="4" w:space="1" w:color="auto"/>
      </w:pBdr>
    </w:pPr>
    <w:r w:rsidRPr="00110328">
      <w:rPr>
        <w:sz w:val="20"/>
        <w:szCs w:val="20"/>
      </w:rPr>
      <w:t xml:space="preserve">© Nottingham Business </w:t>
    </w:r>
    <w:r w:rsidR="00C13DB9">
      <w:rPr>
        <w:sz w:val="20"/>
        <w:szCs w:val="20"/>
      </w:rPr>
      <w:t xml:space="preserve">School (Richard </w:t>
    </w:r>
    <w:r w:rsidRPr="007040EC">
      <w:rPr>
        <w:rFonts w:cstheme="minorHAnsi"/>
        <w:sz w:val="20"/>
        <w:szCs w:val="20"/>
      </w:rPr>
      <w:t>Howarth</w:t>
    </w:r>
    <w:r w:rsidR="00C13DB9">
      <w:rPr>
        <w:rFonts w:cstheme="minorHAnsi"/>
        <w:sz w:val="20"/>
        <w:szCs w:val="20"/>
      </w:rPr>
      <w:t xml:space="preserve"> and Fiona </w:t>
    </w:r>
    <w:r w:rsidRPr="007040EC">
      <w:rPr>
        <w:rFonts w:cstheme="minorHAnsi"/>
        <w:sz w:val="20"/>
        <w:szCs w:val="20"/>
      </w:rPr>
      <w:t>Winfield</w:t>
    </w:r>
    <w:r w:rsidR="00C13DB9">
      <w:rPr>
        <w:rFonts w:cstheme="minorHAnsi"/>
        <w:sz w:val="20"/>
        <w:szCs w:val="20"/>
      </w:rPr>
      <w:t>)</w:t>
    </w:r>
    <w:r>
      <w:rPr>
        <w:rFonts w:cstheme="minorHAnsi"/>
        <w:sz w:val="20"/>
        <w:szCs w:val="20"/>
      </w:rPr>
      <w:t xml:space="preserve"> </w:t>
    </w:r>
    <w:r w:rsidR="005754A5">
      <w:rPr>
        <w:rFonts w:cstheme="minorHAnsi"/>
        <w:sz w:val="20"/>
        <w:szCs w:val="20"/>
      </w:rPr>
      <w:t>- June 2023</w:t>
    </w:r>
    <w:r>
      <w:rPr>
        <w:rFonts w:cstheme="minorHAnsi"/>
        <w:sz w:val="20"/>
        <w:szCs w:val="20"/>
      </w:rPr>
      <w:t xml:space="preserve">                           </w:t>
    </w:r>
    <w:r w:rsidR="009C6004">
      <w:rPr>
        <w:rFonts w:cstheme="minorHAnsi"/>
        <w:sz w:val="20"/>
        <w:szCs w:val="20"/>
      </w:rPr>
      <w:t xml:space="preserve">                                                                                                                        Page </w:t>
    </w:r>
    <w:r w:rsidR="00C13DB9">
      <w:rPr>
        <w:rFonts w:cstheme="minorHAnsi"/>
        <w:sz w:val="20"/>
        <w:szCs w:val="20"/>
      </w:rPr>
      <w:fldChar w:fldCharType="begin"/>
    </w:r>
    <w:r w:rsidR="00C13DB9">
      <w:rPr>
        <w:rFonts w:cstheme="minorHAnsi"/>
        <w:sz w:val="20"/>
        <w:szCs w:val="20"/>
      </w:rPr>
      <w:instrText xml:space="preserve"> PAGE  \* Arabic  \* MERGEFORMAT </w:instrText>
    </w:r>
    <w:r w:rsidR="00C13DB9">
      <w:rPr>
        <w:rFonts w:cstheme="minorHAnsi"/>
        <w:sz w:val="20"/>
        <w:szCs w:val="20"/>
      </w:rPr>
      <w:fldChar w:fldCharType="separate"/>
    </w:r>
    <w:r w:rsidR="00C13DB9">
      <w:rPr>
        <w:rFonts w:cstheme="minorHAnsi"/>
        <w:noProof/>
        <w:sz w:val="20"/>
        <w:szCs w:val="20"/>
      </w:rPr>
      <w:t>1</w:t>
    </w:r>
    <w:r w:rsidR="00C13DB9">
      <w:rPr>
        <w:rFonts w:cstheme="minorHAnsi"/>
        <w:sz w:val="20"/>
        <w:szCs w:val="20"/>
      </w:rPr>
      <w:fldChar w:fldCharType="end"/>
    </w:r>
    <w:r>
      <w:rPr>
        <w:rFonts w:cstheme="minorHAnsi"/>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44952" w14:textId="77777777" w:rsidR="00886A29" w:rsidRDefault="00886A29" w:rsidP="00C34250">
      <w:pPr>
        <w:spacing w:after="0" w:line="240" w:lineRule="auto"/>
      </w:pPr>
      <w:r>
        <w:separator/>
      </w:r>
    </w:p>
  </w:footnote>
  <w:footnote w:type="continuationSeparator" w:id="0">
    <w:p w14:paraId="6CE2FC49" w14:textId="77777777" w:rsidR="00886A29" w:rsidRDefault="00886A29" w:rsidP="00C34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DC8D7" w14:textId="74D61977" w:rsidR="00967ED6" w:rsidRPr="00D35CF8" w:rsidRDefault="00967ED6" w:rsidP="0091053C">
    <w:pPr>
      <w:pStyle w:val="Header"/>
      <w:jc w:val="center"/>
      <w:rPr>
        <w:b/>
        <w:bCs/>
        <w:sz w:val="32"/>
        <w:szCs w:val="32"/>
      </w:rPr>
    </w:pPr>
    <w:r>
      <w:rPr>
        <w:noProof/>
      </w:rPr>
      <w:drawing>
        <wp:anchor distT="0" distB="0" distL="114300" distR="114300" simplePos="0" relativeHeight="251659264" behindDoc="0" locked="0" layoutInCell="1" allowOverlap="1" wp14:anchorId="290ACD6A" wp14:editId="674D572E">
          <wp:simplePos x="0" y="0"/>
          <wp:positionH relativeFrom="page">
            <wp:posOffset>195072</wp:posOffset>
          </wp:positionH>
          <wp:positionV relativeFrom="paragraph">
            <wp:posOffset>-266954</wp:posOffset>
          </wp:positionV>
          <wp:extent cx="1857375" cy="55308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7375" cy="553085"/>
                  </a:xfrm>
                  <a:prstGeom prst="rect">
                    <a:avLst/>
                  </a:prstGeom>
                  <a:noFill/>
                </pic:spPr>
              </pic:pic>
            </a:graphicData>
          </a:graphic>
          <wp14:sizeRelH relativeFrom="page">
            <wp14:pctWidth>0</wp14:pctWidth>
          </wp14:sizeRelH>
          <wp14:sizeRelV relativeFrom="page">
            <wp14:pctHeight>0</wp14:pctHeight>
          </wp14:sizeRelV>
        </wp:anchor>
      </w:drawing>
    </w:r>
    <w:r w:rsidR="00D35CF8" w:rsidRPr="00D35CF8">
      <w:rPr>
        <w:b/>
        <w:bCs/>
        <w:sz w:val="32"/>
        <w:szCs w:val="32"/>
      </w:rPr>
      <w:t>Suggested links to ESD resources and sustainability competency frameworks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B51BB"/>
    <w:multiLevelType w:val="multilevel"/>
    <w:tmpl w:val="57C0D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B43344"/>
    <w:multiLevelType w:val="hybridMultilevel"/>
    <w:tmpl w:val="328EF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830"/>
    <w:rsid w:val="000C09C5"/>
    <w:rsid w:val="000C6814"/>
    <w:rsid w:val="000E67FA"/>
    <w:rsid w:val="00140757"/>
    <w:rsid w:val="00140F8B"/>
    <w:rsid w:val="00146C2E"/>
    <w:rsid w:val="00163568"/>
    <w:rsid w:val="00184CA4"/>
    <w:rsid w:val="001E3479"/>
    <w:rsid w:val="001F36C8"/>
    <w:rsid w:val="001F7C4F"/>
    <w:rsid w:val="0026222A"/>
    <w:rsid w:val="002D7E80"/>
    <w:rsid w:val="00305FAE"/>
    <w:rsid w:val="0031455E"/>
    <w:rsid w:val="00314AF4"/>
    <w:rsid w:val="00337A23"/>
    <w:rsid w:val="003647B0"/>
    <w:rsid w:val="003C4AD0"/>
    <w:rsid w:val="003D575B"/>
    <w:rsid w:val="003D6AB8"/>
    <w:rsid w:val="00411CDD"/>
    <w:rsid w:val="00414558"/>
    <w:rsid w:val="004207C8"/>
    <w:rsid w:val="00456272"/>
    <w:rsid w:val="004A02D3"/>
    <w:rsid w:val="004E589E"/>
    <w:rsid w:val="005754A5"/>
    <w:rsid w:val="005D1022"/>
    <w:rsid w:val="005F4745"/>
    <w:rsid w:val="00637ED3"/>
    <w:rsid w:val="006449F9"/>
    <w:rsid w:val="006555ED"/>
    <w:rsid w:val="006F7AAA"/>
    <w:rsid w:val="0070517D"/>
    <w:rsid w:val="00705F97"/>
    <w:rsid w:val="007269D9"/>
    <w:rsid w:val="00790543"/>
    <w:rsid w:val="007E402A"/>
    <w:rsid w:val="007F4BD9"/>
    <w:rsid w:val="00886A29"/>
    <w:rsid w:val="00896156"/>
    <w:rsid w:val="008D0CFE"/>
    <w:rsid w:val="0091053C"/>
    <w:rsid w:val="00911D23"/>
    <w:rsid w:val="00967ED6"/>
    <w:rsid w:val="009A38E6"/>
    <w:rsid w:val="009C6004"/>
    <w:rsid w:val="009E5D49"/>
    <w:rsid w:val="00A309B4"/>
    <w:rsid w:val="00A41154"/>
    <w:rsid w:val="00A51A5D"/>
    <w:rsid w:val="00A94D59"/>
    <w:rsid w:val="00AC4BB2"/>
    <w:rsid w:val="00AD32F2"/>
    <w:rsid w:val="00AD3547"/>
    <w:rsid w:val="00AF64D4"/>
    <w:rsid w:val="00B53C90"/>
    <w:rsid w:val="00B651A8"/>
    <w:rsid w:val="00B67D9B"/>
    <w:rsid w:val="00B9430F"/>
    <w:rsid w:val="00BC7B09"/>
    <w:rsid w:val="00C13DB9"/>
    <w:rsid w:val="00C34250"/>
    <w:rsid w:val="00C44934"/>
    <w:rsid w:val="00C62A5A"/>
    <w:rsid w:val="00D11553"/>
    <w:rsid w:val="00D12118"/>
    <w:rsid w:val="00D3193C"/>
    <w:rsid w:val="00D33BD7"/>
    <w:rsid w:val="00D35CF8"/>
    <w:rsid w:val="00D84830"/>
    <w:rsid w:val="00DD016B"/>
    <w:rsid w:val="00E13FBA"/>
    <w:rsid w:val="00E543B1"/>
    <w:rsid w:val="00E6132F"/>
    <w:rsid w:val="00E64C05"/>
    <w:rsid w:val="00E8483A"/>
    <w:rsid w:val="00ED3E14"/>
    <w:rsid w:val="00EE15C1"/>
    <w:rsid w:val="00F55CF2"/>
    <w:rsid w:val="00FB188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73EF00"/>
  <w15:chartTrackingRefBased/>
  <w15:docId w15:val="{DC4982D0-41C5-4BEC-A085-C0F96B952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37ED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37E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4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4830"/>
    <w:rPr>
      <w:color w:val="0563C1" w:themeColor="hyperlink"/>
      <w:u w:val="single"/>
    </w:rPr>
  </w:style>
  <w:style w:type="character" w:styleId="UnresolvedMention">
    <w:name w:val="Unresolved Mention"/>
    <w:basedOn w:val="DefaultParagraphFont"/>
    <w:uiPriority w:val="99"/>
    <w:semiHidden/>
    <w:unhideWhenUsed/>
    <w:rsid w:val="00D84830"/>
    <w:rPr>
      <w:color w:val="605E5C"/>
      <w:shd w:val="clear" w:color="auto" w:fill="E1DFDD"/>
    </w:rPr>
  </w:style>
  <w:style w:type="paragraph" w:styleId="Header">
    <w:name w:val="header"/>
    <w:basedOn w:val="Normal"/>
    <w:link w:val="HeaderChar"/>
    <w:uiPriority w:val="99"/>
    <w:unhideWhenUsed/>
    <w:rsid w:val="00C342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4250"/>
  </w:style>
  <w:style w:type="paragraph" w:styleId="Footer">
    <w:name w:val="footer"/>
    <w:basedOn w:val="Normal"/>
    <w:link w:val="FooterChar"/>
    <w:uiPriority w:val="99"/>
    <w:unhideWhenUsed/>
    <w:rsid w:val="00C342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4250"/>
  </w:style>
  <w:style w:type="character" w:styleId="FollowedHyperlink">
    <w:name w:val="FollowedHyperlink"/>
    <w:basedOn w:val="DefaultParagraphFont"/>
    <w:uiPriority w:val="99"/>
    <w:semiHidden/>
    <w:unhideWhenUsed/>
    <w:rsid w:val="001F36C8"/>
    <w:rPr>
      <w:color w:val="954F72" w:themeColor="followedHyperlink"/>
      <w:u w:val="single"/>
    </w:rPr>
  </w:style>
  <w:style w:type="character" w:customStyle="1" w:styleId="Heading1Char">
    <w:name w:val="Heading 1 Char"/>
    <w:basedOn w:val="DefaultParagraphFont"/>
    <w:link w:val="Heading1"/>
    <w:uiPriority w:val="9"/>
    <w:rsid w:val="00637ED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37ED3"/>
    <w:rPr>
      <w:rFonts w:ascii="Times New Roman" w:eastAsia="Times New Roman" w:hAnsi="Times New Roman" w:cs="Times New Roman"/>
      <w:b/>
      <w:bCs/>
      <w:sz w:val="36"/>
      <w:szCs w:val="36"/>
    </w:rPr>
  </w:style>
  <w:style w:type="paragraph" w:styleId="ListParagraph">
    <w:name w:val="List Paragraph"/>
    <w:basedOn w:val="Normal"/>
    <w:uiPriority w:val="34"/>
    <w:qFormat/>
    <w:rsid w:val="00EE15C1"/>
    <w:pPr>
      <w:ind w:left="720"/>
      <w:contextualSpacing/>
    </w:pPr>
  </w:style>
  <w:style w:type="paragraph" w:styleId="NormalWeb">
    <w:name w:val="Normal (Web)"/>
    <w:basedOn w:val="Normal"/>
    <w:uiPriority w:val="99"/>
    <w:semiHidden/>
    <w:unhideWhenUsed/>
    <w:rsid w:val="007905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qsrte-large">
    <w:name w:val="sqsrte-large"/>
    <w:basedOn w:val="Normal"/>
    <w:rsid w:val="004A02D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93184">
      <w:bodyDiv w:val="1"/>
      <w:marLeft w:val="0"/>
      <w:marRight w:val="0"/>
      <w:marTop w:val="0"/>
      <w:marBottom w:val="0"/>
      <w:divBdr>
        <w:top w:val="none" w:sz="0" w:space="0" w:color="auto"/>
        <w:left w:val="none" w:sz="0" w:space="0" w:color="auto"/>
        <w:bottom w:val="none" w:sz="0" w:space="0" w:color="auto"/>
        <w:right w:val="none" w:sz="0" w:space="0" w:color="auto"/>
      </w:divBdr>
    </w:div>
    <w:div w:id="1143694801">
      <w:bodyDiv w:val="1"/>
      <w:marLeft w:val="0"/>
      <w:marRight w:val="0"/>
      <w:marTop w:val="0"/>
      <w:marBottom w:val="0"/>
      <w:divBdr>
        <w:top w:val="none" w:sz="0" w:space="0" w:color="auto"/>
        <w:left w:val="none" w:sz="0" w:space="0" w:color="auto"/>
        <w:bottom w:val="none" w:sz="0" w:space="0" w:color="auto"/>
        <w:right w:val="none" w:sz="0" w:space="0" w:color="auto"/>
      </w:divBdr>
    </w:div>
    <w:div w:id="1530944977">
      <w:bodyDiv w:val="1"/>
      <w:marLeft w:val="0"/>
      <w:marRight w:val="0"/>
      <w:marTop w:val="0"/>
      <w:marBottom w:val="0"/>
      <w:divBdr>
        <w:top w:val="none" w:sz="0" w:space="0" w:color="auto"/>
        <w:left w:val="none" w:sz="0" w:space="0" w:color="auto"/>
        <w:bottom w:val="none" w:sz="0" w:space="0" w:color="auto"/>
        <w:right w:val="none" w:sz="0" w:space="0" w:color="auto"/>
      </w:divBdr>
    </w:div>
    <w:div w:id="1558202911">
      <w:bodyDiv w:val="1"/>
      <w:marLeft w:val="0"/>
      <w:marRight w:val="0"/>
      <w:marTop w:val="0"/>
      <w:marBottom w:val="0"/>
      <w:divBdr>
        <w:top w:val="none" w:sz="0" w:space="0" w:color="auto"/>
        <w:left w:val="none" w:sz="0" w:space="0" w:color="auto"/>
        <w:bottom w:val="none" w:sz="0" w:space="0" w:color="auto"/>
        <w:right w:val="none" w:sz="0" w:space="0" w:color="auto"/>
      </w:divBdr>
    </w:div>
    <w:div w:id="1666281651">
      <w:bodyDiv w:val="1"/>
      <w:marLeft w:val="0"/>
      <w:marRight w:val="0"/>
      <w:marTop w:val="0"/>
      <w:marBottom w:val="0"/>
      <w:divBdr>
        <w:top w:val="none" w:sz="0" w:space="0" w:color="auto"/>
        <w:left w:val="none" w:sz="0" w:space="0" w:color="auto"/>
        <w:bottom w:val="none" w:sz="0" w:space="0" w:color="auto"/>
        <w:right w:val="none" w:sz="0" w:space="0" w:color="auto"/>
      </w:divBdr>
      <w:divsChild>
        <w:div w:id="793980397">
          <w:marLeft w:val="0"/>
          <w:marRight w:val="0"/>
          <w:marTop w:val="0"/>
          <w:marBottom w:val="240"/>
          <w:divBdr>
            <w:top w:val="none" w:sz="0" w:space="0" w:color="auto"/>
            <w:left w:val="none" w:sz="0" w:space="0" w:color="auto"/>
            <w:bottom w:val="none" w:sz="0" w:space="0" w:color="auto"/>
            <w:right w:val="none" w:sz="0" w:space="0" w:color="auto"/>
          </w:divBdr>
        </w:div>
      </w:divsChild>
    </w:div>
    <w:div w:id="170682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ecd.org/publications/young-people-s-environmental-sustainability-competence-1097a78c-en.htm" TargetMode="External"/><Relationship Id="rId13" Type="http://schemas.openxmlformats.org/officeDocument/2006/relationships/hyperlink" Target="https://www.qaa.ac.uk/the-quality-code/subject-benchmark-statement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oecd.org/education/2030-project/teaching-and-learning/learning/transformative-competencies/" TargetMode="External"/><Relationship Id="rId12" Type="http://schemas.openxmlformats.org/officeDocument/2006/relationships/hyperlink" Target="https://www.qaa.ac.uk/the-quality-code/education-for-sustainable-development" TargetMode="External"/><Relationship Id="rId17" Type="http://schemas.openxmlformats.org/officeDocument/2006/relationships/hyperlink" Target="http://ec.europa.eu/social/home.jsp?langId=en" TargetMode="External"/><Relationship Id="rId2" Type="http://schemas.openxmlformats.org/officeDocument/2006/relationships/styles" Target="styles.xml"/><Relationship Id="rId16" Type="http://schemas.openxmlformats.org/officeDocument/2006/relationships/hyperlink" Target="http://eur-lex.europa.eu/legal-content/EN/TXT/?uri=celex:32006H096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int-research-centre.ec.europa.eu/greencomp-european-sustainability-competence-framework_en" TargetMode="External"/><Relationship Id="rId5" Type="http://schemas.openxmlformats.org/officeDocument/2006/relationships/footnotes" Target="footnotes.xml"/><Relationship Id="rId15" Type="http://schemas.openxmlformats.org/officeDocument/2006/relationships/hyperlink" Target="https://joint-research-centre.ec.europa.eu/entrecomp-entrepreneurship-competence-framework_en" TargetMode="External"/><Relationship Id="rId10" Type="http://schemas.openxmlformats.org/officeDocument/2006/relationships/hyperlink" Target="https://unece.org/fileadmin/DAM/env/esd/ESD_Publications/Competences_Publication.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oecd.org/publications/the-environmental-sustainability-competence-toolbox-27991ec0-en.htm" TargetMode="External"/><Relationship Id="rId14" Type="http://schemas.openxmlformats.org/officeDocument/2006/relationships/hyperlink" Target="https://www.innerdevelopmentgoal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1006</Words>
  <Characters>5739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Howarth, Richard</dc:creator>
  <cp:keywords/>
  <dc:description/>
  <cp:lastModifiedBy>Molthan-hill, Petra 02</cp:lastModifiedBy>
  <cp:revision>2</cp:revision>
  <dcterms:created xsi:type="dcterms:W3CDTF">2023-06-14T17:19:00Z</dcterms:created>
  <dcterms:modified xsi:type="dcterms:W3CDTF">2023-06-14T17:19:00Z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cb51c010d7372caa914a8dff4ddf0b138ac17c8e3853a0c8ccb166fa16654c19</vt:lpwstr>
  </property>
</Properties>
</file>