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ED600" w14:textId="59D8FC06" w:rsidR="007B1564" w:rsidRPr="00CC6B7D" w:rsidRDefault="00242F0B" w:rsidP="00CC6B7D">
      <w:pPr>
        <w:jc w:val="both"/>
        <w:rPr>
          <w:b/>
          <w:bCs/>
        </w:rPr>
      </w:pPr>
      <w:r w:rsidRPr="00CC6B7D">
        <w:rPr>
          <w:b/>
          <w:bCs/>
        </w:rPr>
        <w:t xml:space="preserve">Chapter 9. </w:t>
      </w:r>
      <w:r w:rsidR="00BC3C75" w:rsidRPr="00CC6B7D">
        <w:rPr>
          <w:b/>
          <w:bCs/>
        </w:rPr>
        <w:t>Economics for low carbon futures</w:t>
      </w:r>
    </w:p>
    <w:p w14:paraId="0C8BC952" w14:textId="61E8B240" w:rsidR="005A1153" w:rsidRDefault="005A1153" w:rsidP="00CC6B7D">
      <w:pPr>
        <w:pStyle w:val="Heading1"/>
        <w:jc w:val="both"/>
      </w:pPr>
      <w:r>
        <w:t>Seminar 1</w:t>
      </w:r>
    </w:p>
    <w:p w14:paraId="0CBABC23" w14:textId="77777777" w:rsidR="00BC3C75" w:rsidRDefault="00BC3C75" w:rsidP="00CC6B7D">
      <w:pPr>
        <w:pStyle w:val="Heading2"/>
        <w:jc w:val="both"/>
      </w:pPr>
      <w:r>
        <w:t>Activity 1)</w:t>
      </w:r>
    </w:p>
    <w:p w14:paraId="72D0374B" w14:textId="177967B9" w:rsidR="00BC3C75" w:rsidRDefault="00BC3C75" w:rsidP="00CC6B7D">
      <w:pPr>
        <w:jc w:val="both"/>
      </w:pPr>
      <w:r>
        <w:t xml:space="preserve">All the relevant reading material is available from the links provided. </w:t>
      </w:r>
    </w:p>
    <w:p w14:paraId="38E63B5F" w14:textId="421895DD" w:rsidR="00BC3C75" w:rsidRDefault="00BC3C75" w:rsidP="00CC6B7D">
      <w:pPr>
        <w:jc w:val="both"/>
      </w:pPr>
      <w:r>
        <w:t xml:space="preserve">The key to understand the activity is that </w:t>
      </w:r>
      <w:proofErr w:type="gramStart"/>
      <w:r>
        <w:t>in order to</w:t>
      </w:r>
      <w:proofErr w:type="gramEnd"/>
      <w:r>
        <w:t xml:space="preserve"> comply with the GRI rules there is certain information that all companies are expected to disclose. That information appears classified as general standard disclosures and specific standard disclosures, with the latter including the three key areas related to sustainability: economic, </w:t>
      </w:r>
      <w:proofErr w:type="gramStart"/>
      <w:r>
        <w:t>social</w:t>
      </w:r>
      <w:proofErr w:type="gramEnd"/>
      <w:r>
        <w:t xml:space="preserve"> and environmental. In addition, if the company belongs to certain sectors that can be considered special or sensitive (airport operators, food processing, </w:t>
      </w:r>
      <w:proofErr w:type="gramStart"/>
      <w:r>
        <w:t>oil</w:t>
      </w:r>
      <w:proofErr w:type="gramEnd"/>
      <w:r>
        <w:t xml:space="preserve"> and gas, etc), there will be particular information that would need to appear in the reports. This is the case of the Oil and Gas sector and the company chosen as example for the seminar.</w:t>
      </w:r>
    </w:p>
    <w:p w14:paraId="23D0A7A5" w14:textId="5E4858B7" w:rsidR="00BC3C75" w:rsidRDefault="00BC3C75" w:rsidP="00CC6B7D">
      <w:pPr>
        <w:jc w:val="both"/>
      </w:pPr>
      <w:r>
        <w:t>Looking at the company report (other companies and sectors can be used as additional/alternative activities) it</w:t>
      </w:r>
      <w:r w:rsidR="00294104">
        <w:t xml:space="preserve">s website says that it reports ‘in accordance </w:t>
      </w:r>
      <w:proofErr w:type="gramStart"/>
      <w:r w:rsidR="00294104">
        <w:t>to</w:t>
      </w:r>
      <w:proofErr w:type="gramEnd"/>
      <w:r w:rsidR="00294104">
        <w:t xml:space="preserve"> the GRI standards’, and for that there are certain requirements that appear in the Universal Standards document which should be provided. Notably for 2022 Galp is reporting with an ‘integrated report’, </w:t>
      </w:r>
      <w:proofErr w:type="spellStart"/>
      <w:r w:rsidR="00294104">
        <w:t>ie</w:t>
      </w:r>
      <w:proofErr w:type="spellEnd"/>
      <w:r w:rsidR="00294104">
        <w:t xml:space="preserve">., everything in one place, so the GRI content index is not available (at least not at the time of publication). </w:t>
      </w:r>
    </w:p>
    <w:p w14:paraId="16BC39B0" w14:textId="13A7CA98" w:rsidR="00BC3C75" w:rsidRDefault="00294104" w:rsidP="00CC6B7D">
      <w:pPr>
        <w:jc w:val="both"/>
      </w:pPr>
      <w:r>
        <w:t>There is a lot of effort in presenting the company as compliant with a full list of international guidelines and standards, which is typical of energy related companies, as they tend to be under higher public scrutiny due to the environmental risks associated with their activities.</w:t>
      </w:r>
    </w:p>
    <w:p w14:paraId="26B36DFD" w14:textId="1ADFFB48" w:rsidR="0003656D" w:rsidRDefault="0003656D" w:rsidP="00CC6B7D">
      <w:pPr>
        <w:jc w:val="both"/>
      </w:pPr>
      <w:r>
        <w:t>The language used excludes the economic terminology seen in the chapter, particularly ‘abatement’ or ‘</w:t>
      </w:r>
      <w:proofErr w:type="gramStart"/>
      <w:r>
        <w:t>externalities’</w:t>
      </w:r>
      <w:proofErr w:type="gramEnd"/>
      <w:r>
        <w:t>. The focus is on the term ‘impact’, which is more accessible to non-economic professionals and other stakeholders.</w:t>
      </w:r>
    </w:p>
    <w:p w14:paraId="4DFDD91F" w14:textId="77777777" w:rsidR="00BC3C75" w:rsidRDefault="00BC3C75" w:rsidP="00CC6B7D">
      <w:pPr>
        <w:pStyle w:val="Heading2"/>
      </w:pPr>
      <w:r>
        <w:t>Activity 2)</w:t>
      </w:r>
    </w:p>
    <w:p w14:paraId="7AA89D19" w14:textId="1A61ABFA" w:rsidR="005A1153" w:rsidRPr="005A1153" w:rsidRDefault="009C5ECC" w:rsidP="00CC6B7D">
      <w:pPr>
        <w:jc w:val="both"/>
      </w:pPr>
      <w:r>
        <w:t>E</w:t>
      </w:r>
      <w:r w:rsidR="0003656D">
        <w:t>nergy companies tend to make lots of their reports available,</w:t>
      </w:r>
      <w:r>
        <w:t xml:space="preserve"> since they are subject to heavy public scrutiny due to the environmental impacts of their activities (particularly if accidents happen)</w:t>
      </w:r>
      <w:r w:rsidR="0003656D">
        <w:t xml:space="preserve"> but this does not mean that the information is displayed in a clear way. For instance, Duke Energy used to have annual sustainability reports and now to find the relevant information one </w:t>
      </w:r>
      <w:proofErr w:type="gramStart"/>
      <w:r w:rsidR="0003656D">
        <w:t>has to</w:t>
      </w:r>
      <w:proofErr w:type="gramEnd"/>
      <w:r w:rsidR="0003656D">
        <w:t xml:space="preserve"> navigate through several areas of their website to find something useful. Financial companies, particularly after the international crisis of 2007-08, tend to make their reports publicly available too, but it would be good </w:t>
      </w:r>
      <w:r>
        <w:t>you look at</w:t>
      </w:r>
      <w:r w:rsidR="0003656D">
        <w:t xml:space="preserve"> examples from other industries: automotive, chemical, or tourism. </w:t>
      </w:r>
    </w:p>
    <w:p w14:paraId="42263B7D" w14:textId="33DE7E45" w:rsidR="005A1153" w:rsidRDefault="005A1153" w:rsidP="00CC6B7D">
      <w:pPr>
        <w:pStyle w:val="Heading1"/>
        <w:jc w:val="both"/>
      </w:pPr>
      <w:r>
        <w:t>Seminar 2</w:t>
      </w:r>
    </w:p>
    <w:p w14:paraId="2AC1B41D" w14:textId="77777777" w:rsidR="005A1153" w:rsidRDefault="005A1153" w:rsidP="00CC6B7D">
      <w:pPr>
        <w:jc w:val="both"/>
      </w:pPr>
      <w:r>
        <w:t>The video builds on the idea that producers design goods in such a way that they limit their working life so that we need to buy new products, which will increase the generation of waste. As the availability of areas to dispose of waste is limited (mainly landfill) policies should be implemented trying to prevent the generation of waste, on one side, and to manage its disposal on the other side.</w:t>
      </w:r>
    </w:p>
    <w:p w14:paraId="6427830A" w14:textId="77777777" w:rsidR="005A1153" w:rsidRDefault="005A1153" w:rsidP="00CC6B7D">
      <w:pPr>
        <w:jc w:val="both"/>
      </w:pPr>
      <w:r>
        <w:t xml:space="preserve">The first type of policies could include regulation that prevent companies to design products in such a way that their duration is less than what technology allows (avoid ‘programmed obsolesce’). The other type of policies should promote the use of alternative ways of waste disposal: recycling – Promotional campaigns; subsidies to the use of recycled materials in production processes; taxation of landfill use; waste incineration used to produce energy; regulation commanding the use of a minimum percentage of recycled </w:t>
      </w:r>
      <w:proofErr w:type="gramStart"/>
      <w:r>
        <w:t>materials;…</w:t>
      </w:r>
      <w:proofErr w:type="gramEnd"/>
      <w:r>
        <w:t xml:space="preserve"> </w:t>
      </w:r>
    </w:p>
    <w:p w14:paraId="11D189F7" w14:textId="30C86FCA" w:rsidR="00BC745E" w:rsidRDefault="009C5ECC" w:rsidP="00CC6B7D">
      <w:pPr>
        <w:jc w:val="both"/>
      </w:pPr>
      <w:r>
        <w:lastRenderedPageBreak/>
        <w:t>What your answers should or could include</w:t>
      </w:r>
      <w:r w:rsidR="00BC745E">
        <w:t>:</w:t>
      </w:r>
    </w:p>
    <w:p w14:paraId="2EA6959C" w14:textId="77777777" w:rsidR="00BC745E" w:rsidRDefault="00BC745E" w:rsidP="00CC6B7D">
      <w:pPr>
        <w:jc w:val="both"/>
      </w:pPr>
      <w:r>
        <w:t>-</w:t>
      </w:r>
      <w:r>
        <w:tab/>
        <w:t xml:space="preserve">Recycling: </w:t>
      </w:r>
    </w:p>
    <w:p w14:paraId="47C64316" w14:textId="77777777" w:rsidR="00BC745E" w:rsidRDefault="00BC745E" w:rsidP="00CC6B7D">
      <w:pPr>
        <w:jc w:val="both"/>
      </w:pPr>
      <w:r>
        <w:t>o</w:t>
      </w:r>
      <w:r>
        <w:tab/>
        <w:t>Costs: Picking up the different types of materials suitable for recycling and taking them to a recycling site or specialised company to perform that recycling</w:t>
      </w:r>
    </w:p>
    <w:p w14:paraId="1C086C6D" w14:textId="77777777" w:rsidR="00BC745E" w:rsidRDefault="00BC745E" w:rsidP="00CC6B7D">
      <w:pPr>
        <w:jc w:val="both"/>
      </w:pPr>
      <w:r>
        <w:t>o</w:t>
      </w:r>
      <w:r>
        <w:tab/>
        <w:t>Benefits: Less waste potentially ending on a landfill site, so reduction of externalities such as smell, contamination of soil, etc.</w:t>
      </w:r>
    </w:p>
    <w:p w14:paraId="38392573" w14:textId="0A344560" w:rsidR="00BC745E" w:rsidRDefault="00BC745E" w:rsidP="00CC6B7D">
      <w:pPr>
        <w:jc w:val="both"/>
      </w:pPr>
      <w:r>
        <w:t>o</w:t>
      </w:r>
      <w:r>
        <w:tab/>
        <w:t>Valuation technique/s: Contingent valuation could be used to ask neighbours how much they would be willing to pay to have all their recyclables picked up. Travel cost to estimate the costs of taking the materials to the appropriate sites. Hedonic pricing to find out the influence of a recycling site close to houses.</w:t>
      </w:r>
    </w:p>
    <w:p w14:paraId="6748A47D" w14:textId="78D3C9E6" w:rsidR="005A1153" w:rsidRDefault="009C5ECC" w:rsidP="00CC6B7D">
      <w:pPr>
        <w:jc w:val="both"/>
      </w:pPr>
      <w:r>
        <w:t>Opportunities for debate on waste and waste management:</w:t>
      </w:r>
    </w:p>
    <w:p w14:paraId="35B1F35B" w14:textId="69B6D7F5" w:rsidR="009C5ECC" w:rsidRDefault="009C5ECC" w:rsidP="009C5ECC">
      <w:pPr>
        <w:pStyle w:val="ListParagraph"/>
        <w:numPr>
          <w:ilvl w:val="0"/>
          <w:numId w:val="3"/>
        </w:numPr>
        <w:jc w:val="both"/>
      </w:pPr>
      <w:r>
        <w:t>Food waste</w:t>
      </w:r>
    </w:p>
    <w:p w14:paraId="3FEEF716" w14:textId="5D60FC22" w:rsidR="009C5ECC" w:rsidRPr="005A1153" w:rsidRDefault="009C5ECC" w:rsidP="009C5ECC">
      <w:pPr>
        <w:pStyle w:val="ListParagraph"/>
        <w:numPr>
          <w:ilvl w:val="0"/>
          <w:numId w:val="3"/>
        </w:numPr>
        <w:jc w:val="both"/>
      </w:pPr>
      <w:r>
        <w:t>The fashion industry: where do the clothes that we don’t use anymore go?</w:t>
      </w:r>
    </w:p>
    <w:p w14:paraId="62DA6F4C" w14:textId="23C57DE4" w:rsidR="005A1153" w:rsidRDefault="005A1153" w:rsidP="00CC6B7D">
      <w:pPr>
        <w:pStyle w:val="Heading1"/>
        <w:jc w:val="both"/>
      </w:pPr>
      <w:r>
        <w:t>Seminar 3</w:t>
      </w:r>
    </w:p>
    <w:p w14:paraId="62343AB7" w14:textId="62450C26" w:rsidR="00CC6B7D" w:rsidRPr="00CC6B7D" w:rsidRDefault="00CC6B7D" w:rsidP="00CC6B7D">
      <w:pPr>
        <w:pStyle w:val="Heading2"/>
      </w:pPr>
      <w:r w:rsidRPr="00CC6B7D">
        <w:t>Activity 1a</w:t>
      </w:r>
      <w:r>
        <w:t>)</w:t>
      </w:r>
    </w:p>
    <w:p w14:paraId="08BD73E6" w14:textId="77777777" w:rsidR="00CC6B7D" w:rsidRPr="00CC6B7D" w:rsidRDefault="00CC6B7D" w:rsidP="00CC6B7D">
      <w:pPr>
        <w:jc w:val="both"/>
      </w:pPr>
      <w:r w:rsidRPr="00CC6B7D">
        <w:t xml:space="preserve">Sectors and gases covered are: </w:t>
      </w:r>
    </w:p>
    <w:p w14:paraId="6713E3DE" w14:textId="77777777" w:rsidR="00CC6B7D" w:rsidRPr="00CC6B7D" w:rsidRDefault="00CC6B7D" w:rsidP="00CC6B7D">
      <w:pPr>
        <w:numPr>
          <w:ilvl w:val="0"/>
          <w:numId w:val="1"/>
        </w:numPr>
        <w:jc w:val="both"/>
        <w:rPr>
          <w:lang w:val="en"/>
        </w:rPr>
      </w:pPr>
      <w:r w:rsidRPr="00CC6B7D">
        <w:rPr>
          <w:b/>
          <w:bCs/>
          <w:lang w:val="en"/>
        </w:rPr>
        <w:t>carbon dioxide (CO</w:t>
      </w:r>
      <w:r w:rsidRPr="00CC6B7D">
        <w:rPr>
          <w:b/>
          <w:bCs/>
          <w:vertAlign w:val="subscript"/>
          <w:lang w:val="en"/>
        </w:rPr>
        <w:t>2</w:t>
      </w:r>
      <w:r w:rsidRPr="00CC6B7D">
        <w:rPr>
          <w:b/>
          <w:bCs/>
          <w:lang w:val="en"/>
        </w:rPr>
        <w:t xml:space="preserve">) </w:t>
      </w:r>
      <w:r w:rsidRPr="00CC6B7D">
        <w:rPr>
          <w:lang w:val="en"/>
        </w:rPr>
        <w:t xml:space="preserve">from </w:t>
      </w:r>
    </w:p>
    <w:p w14:paraId="0119A706" w14:textId="77777777" w:rsidR="00CC6B7D" w:rsidRPr="00CC6B7D" w:rsidRDefault="00CC6B7D" w:rsidP="00CC6B7D">
      <w:pPr>
        <w:numPr>
          <w:ilvl w:val="1"/>
          <w:numId w:val="1"/>
        </w:numPr>
        <w:jc w:val="both"/>
        <w:rPr>
          <w:lang w:val="en"/>
        </w:rPr>
      </w:pPr>
      <w:r w:rsidRPr="00CC6B7D">
        <w:rPr>
          <w:lang w:val="en"/>
        </w:rPr>
        <w:t>power and heat generation</w:t>
      </w:r>
    </w:p>
    <w:p w14:paraId="50294FD2" w14:textId="77777777" w:rsidR="00CC6B7D" w:rsidRPr="00CC6B7D" w:rsidRDefault="00CC6B7D" w:rsidP="00CC6B7D">
      <w:pPr>
        <w:numPr>
          <w:ilvl w:val="1"/>
          <w:numId w:val="1"/>
        </w:numPr>
        <w:jc w:val="both"/>
        <w:rPr>
          <w:lang w:val="en"/>
        </w:rPr>
      </w:pPr>
      <w:r w:rsidRPr="00CC6B7D">
        <w:rPr>
          <w:lang w:val="en"/>
        </w:rPr>
        <w:t xml:space="preserve">energy-intensive industry sectors including oil refineries, steel works and production of iron, </w:t>
      </w:r>
      <w:proofErr w:type="spellStart"/>
      <w:r w:rsidRPr="00CC6B7D">
        <w:rPr>
          <w:lang w:val="en"/>
        </w:rPr>
        <w:t>aluminium</w:t>
      </w:r>
      <w:proofErr w:type="spellEnd"/>
      <w:r w:rsidRPr="00CC6B7D">
        <w:rPr>
          <w:lang w:val="en"/>
        </w:rPr>
        <w:t xml:space="preserve">, metals, cement, lime, glass, ceramics, pulp, paper, cardboard, </w:t>
      </w:r>
      <w:proofErr w:type="gramStart"/>
      <w:r w:rsidRPr="00CC6B7D">
        <w:rPr>
          <w:lang w:val="en"/>
        </w:rPr>
        <w:t>acids</w:t>
      </w:r>
      <w:proofErr w:type="gramEnd"/>
      <w:r w:rsidRPr="00CC6B7D">
        <w:rPr>
          <w:lang w:val="en"/>
        </w:rPr>
        <w:t xml:space="preserve"> and bulk organic chemicals</w:t>
      </w:r>
    </w:p>
    <w:p w14:paraId="5BE7FF6F" w14:textId="77777777" w:rsidR="00CC6B7D" w:rsidRPr="00CC6B7D" w:rsidRDefault="00CC6B7D" w:rsidP="00CC6B7D">
      <w:pPr>
        <w:numPr>
          <w:ilvl w:val="1"/>
          <w:numId w:val="1"/>
        </w:numPr>
        <w:jc w:val="both"/>
        <w:rPr>
          <w:lang w:val="en"/>
        </w:rPr>
      </w:pPr>
      <w:r w:rsidRPr="00CC6B7D">
        <w:rPr>
          <w:lang w:val="en"/>
        </w:rPr>
        <w:t>commercial aviation</w:t>
      </w:r>
    </w:p>
    <w:p w14:paraId="6E3F29F3" w14:textId="77777777" w:rsidR="00CC6B7D" w:rsidRPr="00CC6B7D" w:rsidRDefault="00CC6B7D" w:rsidP="00CC6B7D">
      <w:pPr>
        <w:numPr>
          <w:ilvl w:val="0"/>
          <w:numId w:val="1"/>
        </w:numPr>
        <w:jc w:val="both"/>
        <w:rPr>
          <w:lang w:val="en"/>
        </w:rPr>
      </w:pPr>
      <w:r w:rsidRPr="00CC6B7D">
        <w:rPr>
          <w:b/>
          <w:bCs/>
          <w:lang w:val="en"/>
        </w:rPr>
        <w:t>nitrous oxide (N</w:t>
      </w:r>
      <w:r w:rsidRPr="00CC6B7D">
        <w:rPr>
          <w:b/>
          <w:bCs/>
          <w:vertAlign w:val="subscript"/>
          <w:lang w:val="en"/>
        </w:rPr>
        <w:t>2</w:t>
      </w:r>
      <w:r w:rsidRPr="00CC6B7D">
        <w:rPr>
          <w:b/>
          <w:bCs/>
          <w:lang w:val="en"/>
        </w:rPr>
        <w:t>O)</w:t>
      </w:r>
      <w:r w:rsidRPr="00CC6B7D">
        <w:rPr>
          <w:lang w:val="en"/>
        </w:rPr>
        <w:t xml:space="preserve"> from production of nitric, adipic and glyoxylic acids and glyoxal</w:t>
      </w:r>
    </w:p>
    <w:p w14:paraId="08394D4F" w14:textId="77777777" w:rsidR="00CC6B7D" w:rsidRPr="00CC6B7D" w:rsidRDefault="00CC6B7D" w:rsidP="00CC6B7D">
      <w:pPr>
        <w:numPr>
          <w:ilvl w:val="0"/>
          <w:numId w:val="1"/>
        </w:numPr>
        <w:jc w:val="both"/>
        <w:rPr>
          <w:lang w:val="en"/>
        </w:rPr>
      </w:pPr>
      <w:r w:rsidRPr="00CC6B7D">
        <w:rPr>
          <w:b/>
          <w:bCs/>
          <w:lang w:val="en"/>
        </w:rPr>
        <w:t>perfluorocarbons (PFCs)</w:t>
      </w:r>
      <w:r w:rsidRPr="00CC6B7D">
        <w:rPr>
          <w:lang w:val="en"/>
        </w:rPr>
        <w:t xml:space="preserve"> from </w:t>
      </w:r>
      <w:proofErr w:type="spellStart"/>
      <w:r w:rsidRPr="00CC6B7D">
        <w:rPr>
          <w:lang w:val="en"/>
        </w:rPr>
        <w:t>aluminium</w:t>
      </w:r>
      <w:proofErr w:type="spellEnd"/>
      <w:r w:rsidRPr="00CC6B7D">
        <w:rPr>
          <w:lang w:val="en"/>
        </w:rPr>
        <w:t xml:space="preserve"> production</w:t>
      </w:r>
    </w:p>
    <w:p w14:paraId="19579742" w14:textId="77777777" w:rsidR="00CC6B7D" w:rsidRPr="00CC6B7D" w:rsidRDefault="00CC6B7D" w:rsidP="00CC6B7D">
      <w:pPr>
        <w:jc w:val="both"/>
      </w:pPr>
      <w:r w:rsidRPr="00CC6B7D">
        <w:t xml:space="preserve">There are exceptions, and certain conditions, particularly </w:t>
      </w:r>
      <w:proofErr w:type="gramStart"/>
      <w:r w:rsidRPr="00CC6B7D">
        <w:t>with regard to</w:t>
      </w:r>
      <w:proofErr w:type="gramEnd"/>
      <w:r w:rsidRPr="00CC6B7D">
        <w:t xml:space="preserve"> the aviation sector.</w:t>
      </w:r>
    </w:p>
    <w:p w14:paraId="574FA3A1" w14:textId="6947D294" w:rsidR="0003656D" w:rsidRDefault="00CC6B7D" w:rsidP="00CC6B7D">
      <w:pPr>
        <w:jc w:val="both"/>
      </w:pPr>
      <w:r w:rsidRPr="00CC6B7D">
        <w:t xml:space="preserve">One of the countries that tried to dilute the requirements of the ETS </w:t>
      </w:r>
      <w:proofErr w:type="gramStart"/>
      <w:r w:rsidRPr="00CC6B7D">
        <w:t>2013-2020</w:t>
      </w:r>
      <w:proofErr w:type="gramEnd"/>
      <w:r>
        <w:t xml:space="preserve"> and subsequent ones</w:t>
      </w:r>
      <w:r w:rsidRPr="00CC6B7D">
        <w:t xml:space="preserve"> is Poland, but in general any European country still heavily dependent on coal and heavy industries could be considered at risk of carbon leakage. </w:t>
      </w:r>
      <w:r>
        <w:t>The d</w:t>
      </w:r>
      <w:r w:rsidRPr="00CC6B7D">
        <w:t>efinition applied by the ETS can be found in the following link</w:t>
      </w:r>
      <w:r>
        <w:t xml:space="preserve">: </w:t>
      </w:r>
      <w:hyperlink r:id="rId5" w:history="1">
        <w:r w:rsidR="00BC745E" w:rsidRPr="000154A6">
          <w:rPr>
            <w:rStyle w:val="Hyperlink"/>
          </w:rPr>
          <w:t>https://climate.ec.europa.eu/eu-action/eu-emissions-trading-system-eu-ets/free-allocation/carbon-leakage_en</w:t>
        </w:r>
      </w:hyperlink>
      <w:r w:rsidR="00BC745E">
        <w:t xml:space="preserve"> </w:t>
      </w:r>
    </w:p>
    <w:p w14:paraId="0904A596" w14:textId="5548FBDB" w:rsidR="00CC6B7D" w:rsidRDefault="00CC6B7D" w:rsidP="00CC6B7D">
      <w:pPr>
        <w:jc w:val="both"/>
      </w:pPr>
      <w:r>
        <w:t xml:space="preserve">With regard to the aviation sector, its role and the EU approach to the ETS can be found here: </w:t>
      </w:r>
      <w:hyperlink r:id="rId6" w:anchor=":~:text=How%20big%20is%20EU%20aviation's,and%20a%20non%2DEU%20country" w:history="1">
        <w:r w:rsidRPr="000154A6">
          <w:rPr>
            <w:rStyle w:val="Hyperlink"/>
          </w:rPr>
          <w:t>https://climate.ec.europa.eu/eu-action/transport-emissions/reducing-emissions-aviation_en#:~:text=How%20big%20is%20EU%20aviation's,and%20a%20non%2DEU%20country</w:t>
        </w:r>
      </w:hyperlink>
      <w:r w:rsidRPr="00CC6B7D">
        <w:t>.</w:t>
      </w:r>
      <w:r>
        <w:t xml:space="preserve"> </w:t>
      </w:r>
    </w:p>
    <w:p w14:paraId="18509451" w14:textId="6FF822C9" w:rsidR="00CC6B7D" w:rsidRDefault="00CC6B7D" w:rsidP="00CC6B7D">
      <w:pPr>
        <w:pStyle w:val="Heading2"/>
      </w:pPr>
      <w:r w:rsidRPr="00CC6B7D">
        <w:t>Activity 1b</w:t>
      </w:r>
      <w:r>
        <w:t>)</w:t>
      </w:r>
    </w:p>
    <w:p w14:paraId="5937BFB4" w14:textId="5099F17B" w:rsidR="00CC6B7D" w:rsidRDefault="00A94BD9" w:rsidP="00CC6B7D">
      <w:pPr>
        <w:jc w:val="both"/>
      </w:pPr>
      <w:r>
        <w:t xml:space="preserve">The information about the application of the CBAM can be found in the following link: </w:t>
      </w:r>
      <w:hyperlink r:id="rId7" w:history="1">
        <w:r w:rsidRPr="000154A6">
          <w:rPr>
            <w:rStyle w:val="Hyperlink"/>
          </w:rPr>
          <w:t>https://taxation-customs.ec.europa.eu/carbon-border-adjustment-mechanism_en</w:t>
        </w:r>
      </w:hyperlink>
      <w:r>
        <w:t xml:space="preserve"> </w:t>
      </w:r>
    </w:p>
    <w:p w14:paraId="57A63A6F" w14:textId="151BE695" w:rsidR="00A94BD9" w:rsidRDefault="00A94BD9" w:rsidP="00CC6B7D">
      <w:pPr>
        <w:jc w:val="both"/>
      </w:pPr>
      <w:r>
        <w:lastRenderedPageBreak/>
        <w:t>It is likely that information on this area will change as it would necessarily be adjusted when the transition period ends and evaluation of said period takes place.</w:t>
      </w:r>
    </w:p>
    <w:p w14:paraId="7FA574D3" w14:textId="2A6C5524" w:rsidR="00B44F35" w:rsidRPr="00B44F35" w:rsidRDefault="00A94BD9" w:rsidP="00B44F35">
      <w:pPr>
        <w:jc w:val="both"/>
      </w:pPr>
      <w:r>
        <w:t xml:space="preserve">The paper ‘Making the EU Carbon Border Adjustment Mechanism acceptable and climate friendly for least developed countries’ by Perdana and Vielle (2022) provides insight into the difficulties the implementation of the CBAM can involve for less developed </w:t>
      </w:r>
      <w:proofErr w:type="gramStart"/>
      <w:r>
        <w:t>countries, and</w:t>
      </w:r>
      <w:proofErr w:type="gramEnd"/>
      <w:r>
        <w:t xml:space="preserve"> suggests possible complementary measures to mitigate them.</w:t>
      </w:r>
    </w:p>
    <w:p w14:paraId="097FAEC7" w14:textId="4FCF5359" w:rsidR="00B44F35" w:rsidRPr="00B44F35" w:rsidRDefault="00B44F35" w:rsidP="00A94BD9">
      <w:pPr>
        <w:pStyle w:val="Heading1"/>
      </w:pPr>
      <w:r w:rsidRPr="00B44F35">
        <w:t xml:space="preserve">ADDITIONAL </w:t>
      </w:r>
      <w:r w:rsidR="009C5ECC">
        <w:t>SUGGESTED READINGS</w:t>
      </w:r>
    </w:p>
    <w:p w14:paraId="0260BFF8" w14:textId="77777777" w:rsidR="00B44F35" w:rsidRPr="00B44F35" w:rsidRDefault="00B44F35" w:rsidP="00B44F35">
      <w:pPr>
        <w:jc w:val="both"/>
      </w:pPr>
      <w:r w:rsidRPr="00B44F35">
        <w:t xml:space="preserve">Copeland, B.R. and Taylor, M.S. (2004) ‘Trade, Growth and the Environment’, </w:t>
      </w:r>
      <w:r w:rsidRPr="00B44F35">
        <w:rPr>
          <w:i/>
        </w:rPr>
        <w:t xml:space="preserve">Journal of Economic Literature. </w:t>
      </w:r>
      <w:r w:rsidRPr="00B44F35">
        <w:t>Vol. XLII (March 2004): 7-71</w:t>
      </w:r>
    </w:p>
    <w:p w14:paraId="54B13EFF" w14:textId="77777777" w:rsidR="00B44F35" w:rsidRPr="00B44F35" w:rsidRDefault="00B44F35" w:rsidP="00B44F35">
      <w:pPr>
        <w:jc w:val="both"/>
      </w:pPr>
      <w:proofErr w:type="spellStart"/>
      <w:r w:rsidRPr="00B44F35">
        <w:t>Eskeland</w:t>
      </w:r>
      <w:proofErr w:type="spellEnd"/>
      <w:r w:rsidRPr="00B44F35">
        <w:t xml:space="preserve">, G.S., and Harrison, A.E. (2003) ‘Moving to Greener Pastures? Multinationals and the Pollution Haven Hypothesis’ </w:t>
      </w:r>
      <w:r w:rsidRPr="00B44F35">
        <w:rPr>
          <w:i/>
        </w:rPr>
        <w:t>Journal of Development Economics</w:t>
      </w:r>
      <w:r w:rsidRPr="00B44F35">
        <w:t xml:space="preserve"> 70: 1-23</w:t>
      </w:r>
    </w:p>
    <w:p w14:paraId="2ECA956E" w14:textId="77777777" w:rsidR="00B44F35" w:rsidRPr="00B44F35" w:rsidRDefault="00B44F35" w:rsidP="00B44F35">
      <w:pPr>
        <w:jc w:val="both"/>
      </w:pPr>
      <w:r w:rsidRPr="00B44F35">
        <w:t xml:space="preserve">Frontier Economics (2006) </w:t>
      </w:r>
      <w:r w:rsidRPr="00B44F35">
        <w:rPr>
          <w:i/>
        </w:rPr>
        <w:t xml:space="preserve">Economic consideration of extending the EU ETS to include aviation. </w:t>
      </w:r>
      <w:r w:rsidRPr="00B44F35">
        <w:t>A report prepared for the European Low Fares Airline Association (ELFAA). March 2006. London.</w:t>
      </w:r>
    </w:p>
    <w:p w14:paraId="26277F5E" w14:textId="77777777" w:rsidR="00317F6C" w:rsidRPr="00317F6C" w:rsidRDefault="00317F6C" w:rsidP="00317F6C">
      <w:pPr>
        <w:jc w:val="both"/>
      </w:pPr>
      <w:proofErr w:type="spellStart"/>
      <w:r w:rsidRPr="00317F6C">
        <w:t>Rosembloom</w:t>
      </w:r>
      <w:proofErr w:type="spellEnd"/>
      <w:r w:rsidRPr="00317F6C">
        <w:t xml:space="preserve">, D., J. </w:t>
      </w:r>
      <w:proofErr w:type="spellStart"/>
      <w:r w:rsidRPr="00317F6C">
        <w:t>Markeard</w:t>
      </w:r>
      <w:proofErr w:type="spellEnd"/>
      <w:r w:rsidRPr="00317F6C">
        <w:t xml:space="preserve">, F. W. Geels and L. </w:t>
      </w:r>
      <w:proofErr w:type="spellStart"/>
      <w:r w:rsidRPr="00317F6C">
        <w:t>Fuenfschilling</w:t>
      </w:r>
      <w:proofErr w:type="spellEnd"/>
      <w:r w:rsidRPr="00317F6C">
        <w:t xml:space="preserve"> (2020) Why carbon pricing is not sufficient to mitigate climate change – and how “sustainability transition policy” can help. </w:t>
      </w:r>
      <w:r w:rsidRPr="00317F6C">
        <w:rPr>
          <w:i/>
          <w:iCs/>
        </w:rPr>
        <w:t xml:space="preserve">PNAS, </w:t>
      </w:r>
      <w:r w:rsidRPr="00317F6C">
        <w:t>117.16: 8664-8668</w:t>
      </w:r>
    </w:p>
    <w:p w14:paraId="663B6C8F" w14:textId="77777777" w:rsidR="00317F6C" w:rsidRPr="00317F6C" w:rsidRDefault="00317F6C" w:rsidP="00317F6C">
      <w:pPr>
        <w:jc w:val="both"/>
      </w:pPr>
      <w:proofErr w:type="spellStart"/>
      <w:r w:rsidRPr="00317F6C">
        <w:t>Zysman</w:t>
      </w:r>
      <w:proofErr w:type="spellEnd"/>
      <w:r w:rsidRPr="00317F6C">
        <w:t xml:space="preserve">, J. and M. </w:t>
      </w:r>
      <w:proofErr w:type="spellStart"/>
      <w:r w:rsidRPr="00317F6C">
        <w:t>Huberty</w:t>
      </w:r>
      <w:proofErr w:type="spellEnd"/>
      <w:r w:rsidRPr="00317F6C">
        <w:t xml:space="preserve"> (eds.) (2014) </w:t>
      </w:r>
      <w:r w:rsidRPr="00317F6C">
        <w:rPr>
          <w:i/>
          <w:iCs/>
        </w:rPr>
        <w:t>Can green sustain growth? From the Religion to the Reality of Sustainable Prosperity</w:t>
      </w:r>
      <w:r w:rsidRPr="00317F6C">
        <w:t xml:space="preserve"> (California, US: Stanford University Press).</w:t>
      </w:r>
    </w:p>
    <w:p w14:paraId="6FF2D940" w14:textId="77777777" w:rsidR="00B44F35" w:rsidRPr="00CC6B7D" w:rsidRDefault="00B44F35" w:rsidP="00CC6B7D">
      <w:pPr>
        <w:jc w:val="both"/>
      </w:pPr>
    </w:p>
    <w:sectPr w:rsidR="00B44F35" w:rsidRPr="00CC6B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33D0"/>
    <w:multiLevelType w:val="hybridMultilevel"/>
    <w:tmpl w:val="125EEBA8"/>
    <w:lvl w:ilvl="0" w:tplc="B8E24082">
      <w:start w:val="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1533E6"/>
    <w:multiLevelType w:val="multilevel"/>
    <w:tmpl w:val="8B2A3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955193"/>
    <w:multiLevelType w:val="hybridMultilevel"/>
    <w:tmpl w:val="D834E506"/>
    <w:lvl w:ilvl="0" w:tplc="AA1ECB96">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F0B"/>
    <w:rsid w:val="0003656D"/>
    <w:rsid w:val="00242F0B"/>
    <w:rsid w:val="00294104"/>
    <w:rsid w:val="00317F6C"/>
    <w:rsid w:val="005A1153"/>
    <w:rsid w:val="007B1564"/>
    <w:rsid w:val="009C5ECC"/>
    <w:rsid w:val="009E016C"/>
    <w:rsid w:val="00A94BD9"/>
    <w:rsid w:val="00B44F35"/>
    <w:rsid w:val="00BC3C75"/>
    <w:rsid w:val="00BC745E"/>
    <w:rsid w:val="00C035BE"/>
    <w:rsid w:val="00CC6B7D"/>
    <w:rsid w:val="00F703AF"/>
    <w:rsid w:val="00F82B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80C18"/>
  <w15:chartTrackingRefBased/>
  <w15:docId w15:val="{4567221F-C526-4C48-AFFE-325026128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11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C3C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15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C3C75"/>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BC745E"/>
    <w:rPr>
      <w:color w:val="0563C1" w:themeColor="hyperlink"/>
      <w:u w:val="single"/>
    </w:rPr>
  </w:style>
  <w:style w:type="character" w:styleId="UnresolvedMention">
    <w:name w:val="Unresolved Mention"/>
    <w:basedOn w:val="DefaultParagraphFont"/>
    <w:uiPriority w:val="99"/>
    <w:semiHidden/>
    <w:unhideWhenUsed/>
    <w:rsid w:val="00BC745E"/>
    <w:rPr>
      <w:color w:val="605E5C"/>
      <w:shd w:val="clear" w:color="auto" w:fill="E1DFDD"/>
    </w:rPr>
  </w:style>
  <w:style w:type="paragraph" w:styleId="ListParagraph">
    <w:name w:val="List Paragraph"/>
    <w:basedOn w:val="Normal"/>
    <w:uiPriority w:val="34"/>
    <w:qFormat/>
    <w:rsid w:val="009C5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axation-customs.ec.europa.eu/carbon-border-adjustment-mechanism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imate.ec.europa.eu/eu-action/transport-emissions/reducing-emissions-aviation_en" TargetMode="External"/><Relationship Id="rId5" Type="http://schemas.openxmlformats.org/officeDocument/2006/relationships/hyperlink" Target="https://climate.ec.europa.eu/eu-action/eu-emissions-trading-system-eu-ets/free-allocation/carbon-leakage_e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1120</Words>
  <Characters>6386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Warwick</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Rosa</dc:creator>
  <cp:keywords/>
  <dc:description/>
  <cp:lastModifiedBy>Molthan-hill, Petra 02</cp:lastModifiedBy>
  <cp:revision>2</cp:revision>
  <dcterms:created xsi:type="dcterms:W3CDTF">2023-06-14T20:31:00Z</dcterms:created>
  <dcterms:modified xsi:type="dcterms:W3CDTF">2023-06-14T20:31:00Z</dcterms:modified>
</cp:coreProperties>
</file>