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19993" w14:textId="77777777" w:rsidR="00984F09" w:rsidRPr="0040589A" w:rsidRDefault="00984F09" w:rsidP="00984F09">
      <w:pPr>
        <w:spacing w:line="480" w:lineRule="auto"/>
        <w:jc w:val="center"/>
        <w:rPr>
          <w:b/>
          <w:bCs/>
        </w:rPr>
      </w:pPr>
      <w:r w:rsidRPr="0040589A">
        <w:rPr>
          <w:b/>
          <w:bCs/>
        </w:rPr>
        <w:t>APPENDIX</w:t>
      </w:r>
    </w:p>
    <w:p w14:paraId="2B1D4D08" w14:textId="77777777" w:rsidR="00984F09" w:rsidRDefault="00984F09" w:rsidP="00984F09">
      <w:pPr>
        <w:spacing w:line="480" w:lineRule="auto"/>
        <w:jc w:val="both"/>
        <w:rPr>
          <w:b/>
          <w:bCs/>
        </w:rPr>
      </w:pPr>
    </w:p>
    <w:p w14:paraId="1E210154" w14:textId="77777777" w:rsidR="00984F09" w:rsidRPr="0040589A" w:rsidRDefault="00984F09" w:rsidP="00984F09">
      <w:pPr>
        <w:spacing w:line="480" w:lineRule="auto"/>
        <w:jc w:val="both"/>
        <w:rPr>
          <w:b/>
          <w:bCs/>
        </w:rPr>
      </w:pPr>
      <w:r w:rsidRPr="0040589A">
        <w:rPr>
          <w:b/>
          <w:bCs/>
        </w:rPr>
        <w:t>Illustrative Program Evaluation Report</w:t>
      </w:r>
    </w:p>
    <w:p w14:paraId="733CA9B0" w14:textId="77777777" w:rsidR="00984F09" w:rsidRDefault="00984F09" w:rsidP="00984F09">
      <w:pPr>
        <w:spacing w:line="480" w:lineRule="auto"/>
        <w:jc w:val="both"/>
      </w:pPr>
    </w:p>
    <w:p w14:paraId="7946AB49" w14:textId="77777777" w:rsidR="00984F09" w:rsidRPr="0040589A" w:rsidRDefault="00984F09" w:rsidP="00984F09">
      <w:pPr>
        <w:spacing w:line="480" w:lineRule="auto"/>
        <w:jc w:val="both"/>
      </w:pPr>
      <w:r w:rsidRPr="0040589A">
        <w:t>An abbreviated program evaluation report is presented here. McKillip et al. (1985) evaluated a media-based program conducted by a university health center to communicate two messages concerning healthy attitudes toward alcohol use. The evaluation was an examination of whether the posters and newspaper ads would get the students’ attention. Clearly the outcome desired is for students to discourage friends from driving while intoxicated and to feel free to decline a drink in spite of social pressure. However, it is pointless to mount a media campaign if students don’t even notice the messages; this evaluation sought to be sure that the first step toward encouraging healthy attitudes did occur.</w:t>
      </w:r>
    </w:p>
    <w:p w14:paraId="27261485" w14:textId="77777777" w:rsidR="00984F09" w:rsidRPr="0040589A" w:rsidRDefault="00984F09" w:rsidP="00984F09">
      <w:pPr>
        <w:spacing w:line="480" w:lineRule="auto"/>
        <w:ind w:firstLine="360"/>
        <w:jc w:val="both"/>
      </w:pPr>
      <w:r w:rsidRPr="0040589A">
        <w:t xml:space="preserve">Note that this evaluation combined an interrupted time series with switching replications and the control construct design (see McKillip, 1992, for a detailed discussion of the analysis). The use of this design produced an evaluation carefully protected from threats to internal validity. Note the use of multiple sources of data. Finally, note the percentage of students who reported that they had seen the posters </w:t>
      </w:r>
      <w:r w:rsidRPr="0040589A">
        <w:rPr>
          <w:i/>
          <w:iCs/>
        </w:rPr>
        <w:t xml:space="preserve">before </w:t>
      </w:r>
      <w:r w:rsidRPr="0040589A">
        <w:t>the posters went up. These percentages should caution readers about a naive use of self-report in evaluations; these evaluators wisely based the evaluation on the change between when the posters were not up and when they were displayed, not on the percentage of students saying they saw the displayed posters.</w:t>
      </w:r>
    </w:p>
    <w:p w14:paraId="7AEDF5AC" w14:textId="77777777" w:rsidR="00984F09" w:rsidRPr="0040589A" w:rsidRDefault="00984F09" w:rsidP="00984F09">
      <w:pPr>
        <w:spacing w:line="480" w:lineRule="auto"/>
        <w:ind w:firstLine="360"/>
        <w:jc w:val="both"/>
      </w:pPr>
      <w:r w:rsidRPr="0040589A">
        <w:t xml:space="preserve">The content of this illustrative report accurately reflects the findings of the original evaluation. However, the university name has been changed, two citations have been added, and a several fictional details have been used to better illustrate how a report would be presented to an agency. Reports to agencies are not done in the format used for papers in </w:t>
      </w:r>
      <w:r w:rsidRPr="0040589A">
        <w:lastRenderedPageBreak/>
        <w:t>research journals.</w:t>
      </w:r>
    </w:p>
    <w:tbl>
      <w:tblPr>
        <w:tblStyle w:val="TableGrid"/>
        <w:tblW w:w="0" w:type="auto"/>
        <w:tblInd w:w="0" w:type="dxa"/>
        <w:tblLook w:val="01E0" w:firstRow="1" w:lastRow="1" w:firstColumn="1" w:lastColumn="1" w:noHBand="0" w:noVBand="0"/>
      </w:tblPr>
      <w:tblGrid>
        <w:gridCol w:w="9019"/>
      </w:tblGrid>
      <w:tr w:rsidR="00984F09" w14:paraId="13365E8B" w14:textId="77777777" w:rsidTr="00403210">
        <w:tc>
          <w:tcPr>
            <w:tcW w:w="9245" w:type="dxa"/>
          </w:tcPr>
          <w:p w14:paraId="15F6D301" w14:textId="77777777" w:rsidR="00984F09" w:rsidRPr="0040589A" w:rsidRDefault="00984F09" w:rsidP="00403210">
            <w:pPr>
              <w:spacing w:line="480" w:lineRule="auto"/>
              <w:jc w:val="center"/>
              <w:rPr>
                <w:b/>
                <w:bCs/>
              </w:rPr>
            </w:pPr>
            <w:r w:rsidRPr="0040589A">
              <w:rPr>
                <w:b/>
                <w:bCs/>
              </w:rPr>
              <w:t>Responsible Alcohol Use</w:t>
            </w:r>
            <w:r>
              <w:rPr>
                <w:b/>
                <w:bCs/>
              </w:rPr>
              <w:br/>
            </w:r>
            <w:r w:rsidRPr="0040589A">
              <w:rPr>
                <w:b/>
                <w:bCs/>
              </w:rPr>
              <w:t>Media Campaign: Can We</w:t>
            </w:r>
            <w:r>
              <w:rPr>
                <w:b/>
                <w:bCs/>
              </w:rPr>
              <w:br/>
            </w:r>
            <w:r w:rsidRPr="0040589A">
              <w:rPr>
                <w:b/>
                <w:bCs/>
              </w:rPr>
              <w:t>Get College Students’</w:t>
            </w:r>
            <w:r>
              <w:rPr>
                <w:b/>
                <w:bCs/>
              </w:rPr>
              <w:br/>
            </w:r>
            <w:r w:rsidRPr="0040589A">
              <w:rPr>
                <w:b/>
                <w:bCs/>
              </w:rPr>
              <w:t>Attention?</w:t>
            </w:r>
            <w:r>
              <w:rPr>
                <w:rStyle w:val="FootnoteReference"/>
                <w:b/>
                <w:bCs/>
              </w:rPr>
              <w:footnoteReference w:id="1"/>
            </w:r>
          </w:p>
          <w:p w14:paraId="3909893B" w14:textId="77777777" w:rsidR="00984F09" w:rsidRDefault="00984F09" w:rsidP="00403210">
            <w:pPr>
              <w:spacing w:line="480" w:lineRule="auto"/>
              <w:jc w:val="center"/>
            </w:pPr>
            <w:r w:rsidRPr="0040589A">
              <w:t>An evaluation of the media campaign in the Fall Semester of 2009 sponsored by the Alcohol Education Project of the Student Health Center to encourage social behaviors that counter the prevailing student culture fostering the overconsumption of alcohol</w:t>
            </w:r>
          </w:p>
          <w:p w14:paraId="3DE27B4B" w14:textId="77777777" w:rsidR="00984F09" w:rsidRPr="0040589A" w:rsidRDefault="00984F09" w:rsidP="00403210">
            <w:pPr>
              <w:spacing w:line="480" w:lineRule="auto"/>
              <w:jc w:val="center"/>
            </w:pPr>
          </w:p>
          <w:p w14:paraId="34A0C470" w14:textId="77777777" w:rsidR="00984F09" w:rsidRPr="00B07A89" w:rsidRDefault="00984F09" w:rsidP="00403210">
            <w:pPr>
              <w:spacing w:line="480" w:lineRule="auto"/>
              <w:jc w:val="center"/>
              <w:rPr>
                <w:b/>
                <w:bCs/>
                <w:i/>
                <w:iCs/>
              </w:rPr>
            </w:pPr>
            <w:r w:rsidRPr="00B07A89">
              <w:rPr>
                <w:b/>
                <w:bCs/>
                <w:i/>
                <w:iCs/>
              </w:rPr>
              <w:t>SSU</w:t>
            </w:r>
          </w:p>
          <w:p w14:paraId="169CCE83" w14:textId="77777777" w:rsidR="00984F09" w:rsidRDefault="00984F09" w:rsidP="00403210">
            <w:pPr>
              <w:spacing w:line="480" w:lineRule="auto"/>
              <w:jc w:val="center"/>
            </w:pPr>
          </w:p>
          <w:p w14:paraId="18AB388E" w14:textId="77777777" w:rsidR="00984F09" w:rsidRDefault="00984F09" w:rsidP="00403210">
            <w:pPr>
              <w:spacing w:line="480" w:lineRule="auto"/>
              <w:jc w:val="center"/>
            </w:pPr>
            <w:r w:rsidRPr="0040589A">
              <w:t>Jack McKillip, D. C. Loc</w:t>
            </w:r>
            <w:r>
              <w:t>khart, P. S. Eckert J. Phillips</w:t>
            </w:r>
          </w:p>
          <w:p w14:paraId="7BA56591" w14:textId="77777777" w:rsidR="00984F09" w:rsidRPr="00B07A89" w:rsidRDefault="00984F09" w:rsidP="00403210">
            <w:pPr>
              <w:spacing w:line="480" w:lineRule="auto"/>
              <w:jc w:val="center"/>
            </w:pPr>
            <w:r w:rsidRPr="0040589A">
              <w:t>March 19, 2010</w:t>
            </w:r>
          </w:p>
        </w:tc>
      </w:tr>
    </w:tbl>
    <w:p w14:paraId="27D5BF82" w14:textId="77777777" w:rsidR="00984F09" w:rsidRDefault="00984F09" w:rsidP="00984F09">
      <w:pPr>
        <w:spacing w:line="480" w:lineRule="auto"/>
        <w:jc w:val="both"/>
        <w:rPr>
          <w:b/>
          <w:bCs/>
        </w:rPr>
      </w:pPr>
    </w:p>
    <w:p w14:paraId="4E209CDE" w14:textId="77777777" w:rsidR="00984F09" w:rsidRPr="00B07A89" w:rsidRDefault="00984F09" w:rsidP="00984F09">
      <w:pPr>
        <w:spacing w:line="480" w:lineRule="auto"/>
        <w:jc w:val="center"/>
        <w:rPr>
          <w:b/>
          <w:bCs/>
        </w:rPr>
      </w:pPr>
      <w:r>
        <w:rPr>
          <w:b/>
          <w:bCs/>
        </w:rPr>
        <w:br w:type="page"/>
      </w:r>
      <w:r w:rsidRPr="00B07A89">
        <w:rPr>
          <w:b/>
          <w:bCs/>
        </w:rPr>
        <w:lastRenderedPageBreak/>
        <w:t>Contents</w:t>
      </w:r>
    </w:p>
    <w:p w14:paraId="542EC4CB" w14:textId="77777777" w:rsidR="00984F09" w:rsidRDefault="00984F09" w:rsidP="00984F09">
      <w:pPr>
        <w:spacing w:line="480" w:lineRule="auto"/>
        <w:jc w:val="both"/>
      </w:pPr>
    </w:p>
    <w:p w14:paraId="214078EA" w14:textId="77777777" w:rsidR="00984F09" w:rsidRPr="0040589A" w:rsidRDefault="00984F09" w:rsidP="00984F09">
      <w:pPr>
        <w:tabs>
          <w:tab w:val="right" w:pos="9000"/>
        </w:tabs>
        <w:spacing w:line="480" w:lineRule="auto"/>
        <w:jc w:val="both"/>
      </w:pPr>
      <w:r w:rsidRPr="0040589A">
        <w:t>Summary</w:t>
      </w:r>
      <w:r>
        <w:tab/>
      </w:r>
      <w:r w:rsidR="00F22E24">
        <w:t>4</w:t>
      </w:r>
    </w:p>
    <w:p w14:paraId="416B6254" w14:textId="77777777" w:rsidR="00984F09" w:rsidRPr="0040589A" w:rsidRDefault="00984F09" w:rsidP="00984F09">
      <w:pPr>
        <w:tabs>
          <w:tab w:val="right" w:pos="9000"/>
        </w:tabs>
        <w:spacing w:line="480" w:lineRule="auto"/>
        <w:jc w:val="both"/>
      </w:pPr>
      <w:r w:rsidRPr="0040589A">
        <w:t>Needs to Be Met by the Program</w:t>
      </w:r>
      <w:r>
        <w:tab/>
      </w:r>
      <w:r w:rsidR="00F22E24">
        <w:t>5</w:t>
      </w:r>
    </w:p>
    <w:p w14:paraId="4FA808A1" w14:textId="77777777" w:rsidR="00984F09" w:rsidRPr="0040589A" w:rsidRDefault="00984F09" w:rsidP="00984F09">
      <w:pPr>
        <w:tabs>
          <w:tab w:val="right" w:pos="9000"/>
        </w:tabs>
        <w:spacing w:line="480" w:lineRule="auto"/>
        <w:jc w:val="both"/>
      </w:pPr>
      <w:r w:rsidRPr="0040589A">
        <w:t>Program Description</w:t>
      </w:r>
      <w:r w:rsidRPr="0040589A">
        <w:tab/>
      </w:r>
      <w:r w:rsidR="00F22E24">
        <w:t>6</w:t>
      </w:r>
    </w:p>
    <w:p w14:paraId="7C5FF9B4" w14:textId="77777777" w:rsidR="00984F09" w:rsidRPr="00F22E24" w:rsidRDefault="00F22E24" w:rsidP="00984F09">
      <w:pPr>
        <w:tabs>
          <w:tab w:val="right" w:pos="9000"/>
        </w:tabs>
        <w:spacing w:line="480" w:lineRule="auto"/>
        <w:ind w:left="360"/>
        <w:jc w:val="both"/>
        <w:rPr>
          <w:iCs/>
        </w:rPr>
      </w:pPr>
      <w:r>
        <w:rPr>
          <w:i/>
          <w:iCs/>
        </w:rPr>
        <w:t>Target Population</w:t>
      </w:r>
      <w:r>
        <w:rPr>
          <w:i/>
          <w:iCs/>
        </w:rPr>
        <w:tab/>
      </w:r>
      <w:r w:rsidRPr="00F22E24">
        <w:rPr>
          <w:iCs/>
        </w:rPr>
        <w:t>6</w:t>
      </w:r>
    </w:p>
    <w:p w14:paraId="08FB59D7" w14:textId="77777777" w:rsidR="00984F09" w:rsidRPr="00F22E24" w:rsidRDefault="00F22E24" w:rsidP="00984F09">
      <w:pPr>
        <w:tabs>
          <w:tab w:val="right" w:pos="9000"/>
        </w:tabs>
        <w:spacing w:line="480" w:lineRule="auto"/>
        <w:ind w:left="360"/>
        <w:jc w:val="both"/>
        <w:rPr>
          <w:iCs/>
        </w:rPr>
      </w:pPr>
      <w:r>
        <w:rPr>
          <w:i/>
          <w:iCs/>
        </w:rPr>
        <w:t>Multimedia Intervention</w:t>
      </w:r>
      <w:r>
        <w:rPr>
          <w:i/>
          <w:iCs/>
        </w:rPr>
        <w:tab/>
      </w:r>
      <w:r w:rsidRPr="00F22E24">
        <w:rPr>
          <w:iCs/>
        </w:rPr>
        <w:t>6</w:t>
      </w:r>
    </w:p>
    <w:p w14:paraId="2DB252DD" w14:textId="77777777" w:rsidR="00984F09" w:rsidRPr="0040589A" w:rsidRDefault="00984F09" w:rsidP="00984F09">
      <w:pPr>
        <w:tabs>
          <w:tab w:val="right" w:pos="9000"/>
        </w:tabs>
        <w:spacing w:line="480" w:lineRule="auto"/>
        <w:jc w:val="both"/>
      </w:pPr>
      <w:r w:rsidRPr="0040589A">
        <w:t>Evaluation Questions</w:t>
      </w:r>
      <w:r w:rsidRPr="0040589A">
        <w:tab/>
      </w:r>
      <w:r w:rsidR="00F22E24">
        <w:t>7</w:t>
      </w:r>
    </w:p>
    <w:p w14:paraId="2D21C63F" w14:textId="77777777" w:rsidR="00984F09" w:rsidRPr="0040589A" w:rsidRDefault="00984F09" w:rsidP="00984F09">
      <w:pPr>
        <w:tabs>
          <w:tab w:val="right" w:pos="9000"/>
        </w:tabs>
        <w:spacing w:line="480" w:lineRule="auto"/>
        <w:jc w:val="both"/>
      </w:pPr>
      <w:r w:rsidRPr="0040589A">
        <w:t>Evaluation Design</w:t>
      </w:r>
      <w:r w:rsidRPr="0040589A">
        <w:tab/>
      </w:r>
      <w:r w:rsidR="00F22E24">
        <w:t>7</w:t>
      </w:r>
    </w:p>
    <w:p w14:paraId="03BF3030" w14:textId="77777777" w:rsidR="00984F09" w:rsidRPr="0040589A" w:rsidRDefault="00984F09" w:rsidP="00984F09">
      <w:pPr>
        <w:tabs>
          <w:tab w:val="right" w:pos="9000"/>
        </w:tabs>
        <w:spacing w:line="480" w:lineRule="auto"/>
        <w:ind w:firstLine="360"/>
        <w:jc w:val="both"/>
      </w:pPr>
      <w:r w:rsidRPr="0040589A">
        <w:rPr>
          <w:i/>
          <w:iCs/>
        </w:rPr>
        <w:t>Table 1</w:t>
      </w:r>
      <w:r w:rsidRPr="0040589A">
        <w:rPr>
          <w:i/>
          <w:iCs/>
        </w:rPr>
        <w:tab/>
      </w:r>
      <w:r w:rsidR="00F22E24">
        <w:t>8</w:t>
      </w:r>
    </w:p>
    <w:p w14:paraId="58A857FC" w14:textId="77777777" w:rsidR="00984F09" w:rsidRPr="0040589A" w:rsidRDefault="00984F09" w:rsidP="00984F09">
      <w:pPr>
        <w:tabs>
          <w:tab w:val="right" w:pos="9000"/>
        </w:tabs>
        <w:spacing w:line="480" w:lineRule="auto"/>
        <w:jc w:val="both"/>
      </w:pPr>
      <w:r w:rsidRPr="0040589A">
        <w:t>Evaluation Findings</w:t>
      </w:r>
      <w:r w:rsidRPr="0040589A">
        <w:tab/>
      </w:r>
      <w:r w:rsidR="00F22E24">
        <w:t>9</w:t>
      </w:r>
    </w:p>
    <w:p w14:paraId="4D444160" w14:textId="77777777" w:rsidR="00984F09" w:rsidRPr="0040589A" w:rsidRDefault="00984F09" w:rsidP="00984F09">
      <w:pPr>
        <w:tabs>
          <w:tab w:val="right" w:pos="9000"/>
        </w:tabs>
        <w:spacing w:line="480" w:lineRule="auto"/>
        <w:ind w:left="360"/>
        <w:jc w:val="both"/>
        <w:rPr>
          <w:i/>
          <w:iCs/>
        </w:rPr>
      </w:pPr>
      <w:r>
        <w:rPr>
          <w:i/>
          <w:iCs/>
        </w:rPr>
        <w:t>Interviews</w:t>
      </w:r>
      <w:r>
        <w:rPr>
          <w:i/>
          <w:iCs/>
        </w:rPr>
        <w:tab/>
      </w:r>
      <w:r w:rsidR="00F22E24">
        <w:rPr>
          <w:iCs/>
        </w:rPr>
        <w:t>9</w:t>
      </w:r>
    </w:p>
    <w:p w14:paraId="4E8CF01E" w14:textId="77777777" w:rsidR="00984F09" w:rsidRPr="0040589A" w:rsidRDefault="00984F09" w:rsidP="00984F09">
      <w:pPr>
        <w:tabs>
          <w:tab w:val="right" w:pos="9000"/>
        </w:tabs>
        <w:spacing w:line="480" w:lineRule="auto"/>
        <w:ind w:left="360" w:firstLine="360"/>
        <w:jc w:val="both"/>
        <w:rPr>
          <w:i/>
          <w:iCs/>
        </w:rPr>
      </w:pPr>
      <w:r w:rsidRPr="0040589A">
        <w:rPr>
          <w:i/>
          <w:iCs/>
        </w:rPr>
        <w:t>Figure 1</w:t>
      </w:r>
      <w:r w:rsidRPr="0040589A">
        <w:rPr>
          <w:i/>
          <w:iCs/>
        </w:rPr>
        <w:tab/>
      </w:r>
      <w:r w:rsidR="00F22E24">
        <w:rPr>
          <w:iCs/>
        </w:rPr>
        <w:t>10</w:t>
      </w:r>
    </w:p>
    <w:p w14:paraId="0FE48C7D" w14:textId="77777777" w:rsidR="00984F09" w:rsidRPr="0040589A" w:rsidRDefault="00984F09" w:rsidP="00984F09">
      <w:pPr>
        <w:tabs>
          <w:tab w:val="right" w:pos="9000"/>
        </w:tabs>
        <w:spacing w:line="480" w:lineRule="auto"/>
        <w:ind w:left="360"/>
        <w:jc w:val="both"/>
        <w:rPr>
          <w:i/>
          <w:iCs/>
        </w:rPr>
      </w:pPr>
      <w:r w:rsidRPr="0040589A">
        <w:rPr>
          <w:i/>
          <w:iCs/>
        </w:rPr>
        <w:t>Mailed Survey</w:t>
      </w:r>
      <w:r w:rsidRPr="0040589A">
        <w:rPr>
          <w:i/>
          <w:iCs/>
        </w:rPr>
        <w:tab/>
      </w:r>
      <w:r w:rsidR="00F22E24" w:rsidRPr="00F22E24">
        <w:rPr>
          <w:iCs/>
        </w:rPr>
        <w:t>11</w:t>
      </w:r>
    </w:p>
    <w:p w14:paraId="4DEE45DD" w14:textId="77777777" w:rsidR="00984F09" w:rsidRPr="0040589A" w:rsidRDefault="00984F09" w:rsidP="00984F09">
      <w:pPr>
        <w:tabs>
          <w:tab w:val="right" w:pos="9000"/>
        </w:tabs>
        <w:spacing w:line="480" w:lineRule="auto"/>
        <w:ind w:left="360"/>
        <w:jc w:val="both"/>
        <w:rPr>
          <w:i/>
          <w:iCs/>
        </w:rPr>
      </w:pPr>
      <w:r w:rsidRPr="0040589A">
        <w:rPr>
          <w:i/>
          <w:iCs/>
        </w:rPr>
        <w:t>Media Information Table</w:t>
      </w:r>
      <w:r w:rsidRPr="0040589A">
        <w:rPr>
          <w:i/>
          <w:iCs/>
        </w:rPr>
        <w:tab/>
      </w:r>
      <w:r w:rsidR="00F22E24" w:rsidRPr="00F22E24">
        <w:rPr>
          <w:iCs/>
        </w:rPr>
        <w:t>11</w:t>
      </w:r>
    </w:p>
    <w:p w14:paraId="48FB20CD" w14:textId="77777777" w:rsidR="00984F09" w:rsidRPr="0040589A" w:rsidRDefault="00984F09" w:rsidP="00984F09">
      <w:pPr>
        <w:tabs>
          <w:tab w:val="right" w:pos="9000"/>
        </w:tabs>
        <w:spacing w:line="480" w:lineRule="auto"/>
        <w:jc w:val="both"/>
      </w:pPr>
      <w:r w:rsidRPr="0040589A">
        <w:t>Conclusions and Implications</w:t>
      </w:r>
      <w:r w:rsidRPr="0040589A">
        <w:tab/>
      </w:r>
      <w:r w:rsidR="00F22E24">
        <w:t>12</w:t>
      </w:r>
    </w:p>
    <w:p w14:paraId="6526396E" w14:textId="77777777" w:rsidR="00984F09" w:rsidRPr="0040589A" w:rsidRDefault="00984F09" w:rsidP="00984F09">
      <w:pPr>
        <w:tabs>
          <w:tab w:val="right" w:pos="9000"/>
        </w:tabs>
        <w:spacing w:line="480" w:lineRule="auto"/>
        <w:jc w:val="both"/>
      </w:pPr>
      <w:r w:rsidRPr="0040589A">
        <w:t>References</w:t>
      </w:r>
      <w:r>
        <w:tab/>
      </w:r>
      <w:r w:rsidR="00F22E24">
        <w:t>13</w:t>
      </w:r>
    </w:p>
    <w:p w14:paraId="06760C74" w14:textId="77777777" w:rsidR="00984F09" w:rsidRPr="0040589A" w:rsidRDefault="00984F09" w:rsidP="00984F09">
      <w:pPr>
        <w:tabs>
          <w:tab w:val="right" w:pos="9000"/>
        </w:tabs>
        <w:spacing w:line="480" w:lineRule="auto"/>
        <w:jc w:val="both"/>
      </w:pPr>
      <w:r w:rsidRPr="0040589A">
        <w:t xml:space="preserve">Appendices </w:t>
      </w:r>
      <w:r w:rsidRPr="0040589A">
        <w:rPr>
          <w:i/>
          <w:iCs/>
        </w:rPr>
        <w:t>(buff-colored pages)</w:t>
      </w:r>
      <w:r>
        <w:rPr>
          <w:i/>
          <w:iCs/>
        </w:rPr>
        <w:tab/>
      </w:r>
      <w:r w:rsidR="00F22E24" w:rsidRPr="00F22E24">
        <w:rPr>
          <w:iCs/>
        </w:rPr>
        <w:t>14</w:t>
      </w:r>
    </w:p>
    <w:p w14:paraId="79C8694C" w14:textId="77777777" w:rsidR="00984F09" w:rsidRDefault="00984F09" w:rsidP="00984F09">
      <w:pPr>
        <w:spacing w:line="480" w:lineRule="auto"/>
        <w:jc w:val="both"/>
        <w:rPr>
          <w:b/>
          <w:bCs/>
        </w:rPr>
      </w:pPr>
    </w:p>
    <w:p w14:paraId="187C7A6E" w14:textId="77777777" w:rsidR="00984F09" w:rsidRPr="0040589A" w:rsidRDefault="001E11A1" w:rsidP="00984F09">
      <w:pPr>
        <w:spacing w:line="480" w:lineRule="auto"/>
        <w:jc w:val="both"/>
        <w:rPr>
          <w:b/>
          <w:bCs/>
        </w:rPr>
      </w:pPr>
      <w:r>
        <w:rPr>
          <w:b/>
          <w:bCs/>
        </w:rPr>
        <w:br w:type="page"/>
      </w:r>
      <w:r w:rsidR="00984F09" w:rsidRPr="0040589A">
        <w:rPr>
          <w:b/>
          <w:bCs/>
        </w:rPr>
        <w:lastRenderedPageBreak/>
        <w:t>SUMMARY</w:t>
      </w:r>
    </w:p>
    <w:p w14:paraId="7A717E23" w14:textId="77777777" w:rsidR="00984F09" w:rsidRDefault="00984F09" w:rsidP="00984F09">
      <w:pPr>
        <w:spacing w:line="480" w:lineRule="auto"/>
        <w:jc w:val="both"/>
      </w:pPr>
    </w:p>
    <w:p w14:paraId="6F00FD0C" w14:textId="77777777" w:rsidR="00984F09" w:rsidRPr="0040589A" w:rsidRDefault="00984F09" w:rsidP="00984F09">
      <w:pPr>
        <w:spacing w:line="480" w:lineRule="auto"/>
        <w:jc w:val="both"/>
      </w:pPr>
      <w:r w:rsidRPr="0040589A">
        <w:t>Responsible alcohol use was encouraged by a program sponsored by the Alcohol Education Project (AEP) at Southern State University (SSU). A needs assessment showed that students endorsed moderate drinking, but believed that their friends expected them to do more heavy drinking. The experiences of the AEP staff suggested that another problem on campus was drinking and driving. A campaign was planned to encourage students to (1) resist peer pressure to drink heavily and (2) stop friends from driving while drunk. Posters, newspaper ads, an information booth, and a radio call-in show were used by the AEP staff to stress these two themes. There is evidence that those students who are still forming their drinking habits can be influenced by appropriate information; however, information will not be received if the media used to provide the information do not attract the attention of the target audience.</w:t>
      </w:r>
    </w:p>
    <w:p w14:paraId="13F8AAC6" w14:textId="77777777" w:rsidR="00984F09" w:rsidRPr="0040589A" w:rsidRDefault="00984F09" w:rsidP="00984F09">
      <w:pPr>
        <w:spacing w:line="480" w:lineRule="auto"/>
        <w:ind w:firstLine="360"/>
        <w:jc w:val="both"/>
      </w:pPr>
      <w:r w:rsidRPr="0040589A">
        <w:t>Since the effectiveness of posters, ads, and other methods in attracting student attention was not known, an evaluation was conducted during a 10-week period. A two-week baseline period (with no AEP posters or ads in place) was followed by a two-week emphasis on resisting peer pressure to drink. A second two-week baseline period was followed by a two-week emphasis on keeping friends from driving while drunk. The evaluation ended with a third two-week baseline period. During the two intervention periods, posters, ads, and a radio show stressed one of the themes. For the first four periods (eight weeks), an information table was set up in the student union on Thursdays during the lunch hour. No AEP materials were available during the last two-week period.</w:t>
      </w:r>
    </w:p>
    <w:p w14:paraId="45BC39AF" w14:textId="77777777" w:rsidR="00984F09" w:rsidRPr="0040589A" w:rsidRDefault="00984F09" w:rsidP="00984F09">
      <w:pPr>
        <w:spacing w:line="480" w:lineRule="auto"/>
        <w:ind w:firstLine="360"/>
        <w:jc w:val="both"/>
      </w:pPr>
      <w:r w:rsidRPr="0040589A">
        <w:t xml:space="preserve">Interviews during the 10-week evaluation showed that students became aware of the campaign and its themes, student recognition of Theme 1 increased abruptly during week 3, but the level of recognition of Theme 2 did not change. When Theme 2 materials were available (during weeks 7 and 8), recognition of Theme 2 increased abruptly. The conclusion </w:t>
      </w:r>
      <w:r w:rsidRPr="0040589A">
        <w:lastRenderedPageBreak/>
        <w:t>that students were aware of the messages was also supported by the numbers and types of material taken from the information table during the weeks of the campaign. Last, a mailed survey during weeks 9 and 10 showed that the two themes targeted by the campaign were recognized more frequently than the other AEP themes not stressed in this media program.</w:t>
      </w:r>
    </w:p>
    <w:p w14:paraId="60FDBA8D" w14:textId="77777777" w:rsidR="00984F09" w:rsidRPr="0040589A" w:rsidRDefault="00984F09" w:rsidP="00984F09">
      <w:pPr>
        <w:spacing w:line="480" w:lineRule="auto"/>
        <w:ind w:firstLine="360"/>
        <w:jc w:val="both"/>
      </w:pPr>
      <w:r w:rsidRPr="0040589A">
        <w:t>It was concluded that the media campaign was effective in attracting student attention. Although getting student attention is merely a first step in a chain of events that is hoped to result in responsible alcohol use, it is an essential step. Staff members of student services can be confident that using well-placed posters and providing alcohol-related information is an effective use of educational resources.</w:t>
      </w:r>
    </w:p>
    <w:p w14:paraId="00EA941C" w14:textId="77777777" w:rsidR="00984F09" w:rsidRDefault="00984F09" w:rsidP="00984F09">
      <w:pPr>
        <w:spacing w:line="480" w:lineRule="auto"/>
        <w:jc w:val="both"/>
        <w:rPr>
          <w:b/>
          <w:bCs/>
        </w:rPr>
      </w:pPr>
    </w:p>
    <w:p w14:paraId="4240A454" w14:textId="77777777" w:rsidR="00984F09" w:rsidRPr="00B07A89" w:rsidRDefault="00984F09" w:rsidP="00984F09">
      <w:pPr>
        <w:spacing w:line="480" w:lineRule="auto"/>
        <w:jc w:val="both"/>
        <w:rPr>
          <w:b/>
          <w:bCs/>
          <w:smallCaps/>
        </w:rPr>
      </w:pPr>
      <w:r>
        <w:rPr>
          <w:b/>
          <w:bCs/>
          <w:smallCaps/>
        </w:rPr>
        <w:t>Needs t</w:t>
      </w:r>
      <w:r w:rsidRPr="00B07A89">
        <w:rPr>
          <w:b/>
          <w:bCs/>
          <w:smallCaps/>
        </w:rPr>
        <w:t xml:space="preserve">o </w:t>
      </w:r>
      <w:r>
        <w:rPr>
          <w:b/>
          <w:bCs/>
          <w:smallCaps/>
        </w:rPr>
        <w:t>b</w:t>
      </w:r>
      <w:r w:rsidRPr="00B07A89">
        <w:rPr>
          <w:b/>
          <w:bCs/>
          <w:smallCaps/>
        </w:rPr>
        <w:t xml:space="preserve">e Met </w:t>
      </w:r>
      <w:r>
        <w:rPr>
          <w:b/>
          <w:bCs/>
          <w:smallCaps/>
        </w:rPr>
        <w:t>b</w:t>
      </w:r>
      <w:r w:rsidRPr="00B07A89">
        <w:rPr>
          <w:b/>
          <w:bCs/>
          <w:smallCaps/>
        </w:rPr>
        <w:t xml:space="preserve">y </w:t>
      </w:r>
      <w:r>
        <w:rPr>
          <w:b/>
          <w:bCs/>
          <w:smallCaps/>
        </w:rPr>
        <w:t>t</w:t>
      </w:r>
      <w:r w:rsidRPr="00B07A89">
        <w:rPr>
          <w:b/>
          <w:bCs/>
          <w:smallCaps/>
        </w:rPr>
        <w:t>he Program</w:t>
      </w:r>
    </w:p>
    <w:p w14:paraId="44ED0029" w14:textId="77777777" w:rsidR="00984F09" w:rsidRDefault="00984F09" w:rsidP="00984F09">
      <w:pPr>
        <w:spacing w:line="480" w:lineRule="auto"/>
        <w:jc w:val="both"/>
      </w:pPr>
    </w:p>
    <w:p w14:paraId="532BFB70" w14:textId="77777777" w:rsidR="00984F09" w:rsidRPr="0040589A" w:rsidRDefault="00984F09" w:rsidP="00984F09">
      <w:pPr>
        <w:spacing w:line="480" w:lineRule="auto"/>
        <w:jc w:val="both"/>
      </w:pPr>
      <w:r w:rsidRPr="0040589A">
        <w:t>Widespread evidence indicates that the rate of abuse of alcoholic beverages on U.S. college campuses is a current problem with implications for the future health of students. National statistics show a remarkable range of problems stemming from excessive drinking by college students (see A Snapshot of Annual High-Risk College Drinking Consequences, 2007). Informal observations suggested that alcohol abuse is a problem at SSU as well. In addition, answers to mailed surveys to students indicated that although the majority of SSU students viewed moderate drinking as desirable, they believed that their peers expected them to drink heavily. It seemed important for students to be encouraged to hold to their belief in moderate drinking by helping them to resist peer pressures to abuse alcohol. Drinking and driving was also found to be a frequently encountered alcohol-related problem on campus. On the basis of this needs assessment, the SSU AEP staff designed a media-based education program to address alcohol use as related to peer pressure and driving.</w:t>
      </w:r>
    </w:p>
    <w:p w14:paraId="5959C9A8" w14:textId="77777777" w:rsidR="00984F09" w:rsidRDefault="00984F09" w:rsidP="00984F09">
      <w:pPr>
        <w:spacing w:line="480" w:lineRule="auto"/>
        <w:jc w:val="both"/>
        <w:rPr>
          <w:b/>
          <w:bCs/>
        </w:rPr>
      </w:pPr>
    </w:p>
    <w:p w14:paraId="649A274B" w14:textId="77777777" w:rsidR="00984F09" w:rsidRPr="00B07A89" w:rsidRDefault="00984F09" w:rsidP="00984F09">
      <w:pPr>
        <w:spacing w:line="480" w:lineRule="auto"/>
        <w:jc w:val="both"/>
        <w:rPr>
          <w:b/>
          <w:bCs/>
          <w:smallCaps/>
        </w:rPr>
      </w:pPr>
      <w:r w:rsidRPr="00B07A89">
        <w:rPr>
          <w:b/>
          <w:bCs/>
          <w:smallCaps/>
        </w:rPr>
        <w:lastRenderedPageBreak/>
        <w:t>Program Description</w:t>
      </w:r>
    </w:p>
    <w:p w14:paraId="08E24C5B" w14:textId="77777777" w:rsidR="00984F09" w:rsidRDefault="00984F09" w:rsidP="00984F09">
      <w:pPr>
        <w:spacing w:line="480" w:lineRule="auto"/>
        <w:jc w:val="both"/>
      </w:pPr>
    </w:p>
    <w:p w14:paraId="6C97E5F2" w14:textId="77777777" w:rsidR="00984F09" w:rsidRPr="00B07A89" w:rsidRDefault="00984F09" w:rsidP="00984F09">
      <w:pPr>
        <w:spacing w:line="480" w:lineRule="auto"/>
        <w:jc w:val="both"/>
        <w:rPr>
          <w:b/>
          <w:bCs/>
        </w:rPr>
      </w:pPr>
      <w:r w:rsidRPr="00B07A89">
        <w:rPr>
          <w:b/>
          <w:bCs/>
        </w:rPr>
        <w:t>Target Population</w:t>
      </w:r>
    </w:p>
    <w:p w14:paraId="1A5D592C" w14:textId="77777777" w:rsidR="00984F09" w:rsidRDefault="00984F09" w:rsidP="00984F09">
      <w:pPr>
        <w:spacing w:line="480" w:lineRule="auto"/>
        <w:jc w:val="both"/>
      </w:pPr>
    </w:p>
    <w:p w14:paraId="0A32A1F6" w14:textId="77777777" w:rsidR="00984F09" w:rsidRPr="0040589A" w:rsidRDefault="00984F09" w:rsidP="00984F09">
      <w:pPr>
        <w:spacing w:line="480" w:lineRule="auto"/>
        <w:jc w:val="both"/>
      </w:pPr>
      <w:r w:rsidRPr="0040589A">
        <w:t>SSU students, approximately 18,700 undergraduates and 3,300 graduate students, made up the target population of a multimedia campaign to encourage responsible alcohol use.</w:t>
      </w:r>
    </w:p>
    <w:p w14:paraId="537C1DF4" w14:textId="77777777" w:rsidR="00984F09" w:rsidRDefault="00984F09" w:rsidP="00984F09">
      <w:pPr>
        <w:spacing w:line="480" w:lineRule="auto"/>
        <w:jc w:val="both"/>
      </w:pPr>
    </w:p>
    <w:p w14:paraId="5B95ED56" w14:textId="77777777" w:rsidR="00984F09" w:rsidRPr="00B07A89" w:rsidRDefault="00984F09" w:rsidP="00984F09">
      <w:pPr>
        <w:spacing w:line="480" w:lineRule="auto"/>
        <w:jc w:val="both"/>
        <w:rPr>
          <w:b/>
          <w:bCs/>
        </w:rPr>
      </w:pPr>
      <w:r w:rsidRPr="00B07A89">
        <w:rPr>
          <w:b/>
          <w:bCs/>
        </w:rPr>
        <w:t>Multimedia Intervention</w:t>
      </w:r>
    </w:p>
    <w:p w14:paraId="21BED1F6" w14:textId="77777777" w:rsidR="00984F09" w:rsidRDefault="00984F09" w:rsidP="00984F09">
      <w:pPr>
        <w:spacing w:line="480" w:lineRule="auto"/>
        <w:jc w:val="both"/>
      </w:pPr>
    </w:p>
    <w:p w14:paraId="30899C6A" w14:textId="77777777" w:rsidR="00984F09" w:rsidRPr="0040589A" w:rsidRDefault="00984F09" w:rsidP="00984F09">
      <w:pPr>
        <w:spacing w:line="480" w:lineRule="auto"/>
        <w:jc w:val="both"/>
      </w:pPr>
      <w:r w:rsidRPr="0040589A">
        <w:t>Previous research (Ray, 1973; Rothchild, 1979) has implied that students who are not heavily involved in alcohol abuse and are just forming their alcohol-related attitudes can be influenced by material strengthening inclinations toward responsible alcohol use. Considerable research suggests that peer pressure is a major factor in college alcohol abuse (Nauert, 2009). Therefore, the staff of the AEP expected that a media-based education project could have positive effects. (Heavy drinkers and those whose drinking patterns are well practiced would probably not be influenced by this approach.)</w:t>
      </w:r>
    </w:p>
    <w:p w14:paraId="2A426461" w14:textId="77777777" w:rsidR="00984F09" w:rsidRPr="0040589A" w:rsidRDefault="00984F09" w:rsidP="00984F09">
      <w:pPr>
        <w:spacing w:line="480" w:lineRule="auto"/>
        <w:ind w:firstLine="360"/>
        <w:jc w:val="both"/>
      </w:pPr>
      <w:r w:rsidRPr="0040589A">
        <w:t>The two themes for the intervention were selected on the basis of the needs assessment. Theme 1 was “It’s not rude to refuse a drink.” Theme 2 was “Friends don’t let friends drive drunk.” The AEP project began in September 2009.</w:t>
      </w:r>
    </w:p>
    <w:p w14:paraId="501196DC" w14:textId="77777777" w:rsidR="00984F09" w:rsidRPr="0040589A" w:rsidRDefault="00984F09" w:rsidP="00984F09">
      <w:pPr>
        <w:spacing w:line="480" w:lineRule="auto"/>
        <w:ind w:firstLine="360"/>
        <w:jc w:val="both"/>
      </w:pPr>
      <w:r w:rsidRPr="0040589A">
        <w:t>The program sought to increase student awareness of these themes by (1) putting posters in public places throughout the campus (307 were used for the first theme and 203 for the second); (2) placing half-page ads identical to the posters in the Tuesday and Thursday issues of the campus newspaper; (3) creating a 9.8-square-foot window display in the student union concerning</w:t>
      </w:r>
      <w:r>
        <w:t xml:space="preserve"> </w:t>
      </w:r>
      <w:r w:rsidRPr="0040589A">
        <w:t xml:space="preserve">the theme being publicized; (4) having an AEP staff member on a radio call-in show during the first week each of the themes was stressed; and (5) providing an information </w:t>
      </w:r>
      <w:r w:rsidRPr="0040589A">
        <w:lastRenderedPageBreak/>
        <w:t>table in the student union during the noon hours of each Thursday stocked with written material on responsible alcohol use with an AEP staff member available to answer questions.</w:t>
      </w:r>
    </w:p>
    <w:p w14:paraId="4DD5438C" w14:textId="77777777" w:rsidR="00984F09" w:rsidRDefault="00984F09" w:rsidP="00984F09">
      <w:pPr>
        <w:spacing w:line="480" w:lineRule="auto"/>
        <w:jc w:val="both"/>
        <w:rPr>
          <w:b/>
          <w:bCs/>
        </w:rPr>
      </w:pPr>
    </w:p>
    <w:p w14:paraId="098D3298" w14:textId="77777777" w:rsidR="00984F09" w:rsidRPr="00B07A89" w:rsidRDefault="00984F09" w:rsidP="00984F09">
      <w:pPr>
        <w:spacing w:line="480" w:lineRule="auto"/>
        <w:jc w:val="both"/>
        <w:rPr>
          <w:b/>
          <w:bCs/>
          <w:smallCaps/>
        </w:rPr>
      </w:pPr>
      <w:r w:rsidRPr="00B07A89">
        <w:rPr>
          <w:b/>
          <w:bCs/>
          <w:smallCaps/>
        </w:rPr>
        <w:t>Evaluation Questions</w:t>
      </w:r>
    </w:p>
    <w:p w14:paraId="08DAB7CE" w14:textId="77777777" w:rsidR="00984F09" w:rsidRDefault="00984F09" w:rsidP="00984F09">
      <w:pPr>
        <w:spacing w:line="480" w:lineRule="auto"/>
        <w:jc w:val="both"/>
      </w:pPr>
    </w:p>
    <w:p w14:paraId="49CA115C" w14:textId="77777777" w:rsidR="00984F09" w:rsidRPr="0040589A" w:rsidRDefault="00984F09" w:rsidP="00984F09">
      <w:pPr>
        <w:spacing w:line="480" w:lineRule="auto"/>
        <w:jc w:val="both"/>
      </w:pPr>
      <w:r w:rsidRPr="0040589A">
        <w:t>The materials could be ignored or they could be attended to by students. Thus, the evaluation sought to assess the degree to which the media campaign attracted student attention. Interviews, surveys, and behavioral measures were used to judge whether students were aware of the campaign.</w:t>
      </w:r>
    </w:p>
    <w:p w14:paraId="6808C0C0" w14:textId="77777777" w:rsidR="00984F09" w:rsidRDefault="00984F09" w:rsidP="00984F09">
      <w:pPr>
        <w:spacing w:line="480" w:lineRule="auto"/>
        <w:jc w:val="both"/>
        <w:rPr>
          <w:b/>
          <w:bCs/>
        </w:rPr>
      </w:pPr>
    </w:p>
    <w:p w14:paraId="32D766C9" w14:textId="77777777" w:rsidR="00984F09" w:rsidRPr="00B07A89" w:rsidRDefault="00984F09" w:rsidP="00984F09">
      <w:pPr>
        <w:spacing w:line="480" w:lineRule="auto"/>
        <w:jc w:val="both"/>
        <w:rPr>
          <w:b/>
          <w:bCs/>
          <w:smallCaps/>
        </w:rPr>
      </w:pPr>
      <w:r w:rsidRPr="00B07A89">
        <w:rPr>
          <w:b/>
          <w:bCs/>
          <w:smallCaps/>
        </w:rPr>
        <w:t>Evaluation Design</w:t>
      </w:r>
    </w:p>
    <w:p w14:paraId="0C8EE91E" w14:textId="77777777" w:rsidR="00984F09" w:rsidRDefault="00984F09" w:rsidP="00984F09">
      <w:pPr>
        <w:spacing w:line="480" w:lineRule="auto"/>
        <w:jc w:val="both"/>
      </w:pPr>
    </w:p>
    <w:p w14:paraId="6191CAEF" w14:textId="77777777" w:rsidR="00984F09" w:rsidRDefault="00984F09" w:rsidP="00984F09">
      <w:pPr>
        <w:spacing w:line="480" w:lineRule="auto"/>
        <w:jc w:val="both"/>
      </w:pPr>
      <w:r w:rsidRPr="0040589A">
        <w:t>To permit an evaluation of the program, the campaign was divided into five two-week periods as shown in Table 1. The five periods included the following:</w:t>
      </w:r>
    </w:p>
    <w:p w14:paraId="31232504" w14:textId="77777777" w:rsidR="00984F09" w:rsidRPr="0040589A" w:rsidRDefault="00984F09" w:rsidP="00984F09">
      <w:pPr>
        <w:spacing w:line="480" w:lineRule="auto"/>
        <w:jc w:val="both"/>
      </w:pPr>
    </w:p>
    <w:p w14:paraId="2C4FDD66" w14:textId="77777777" w:rsidR="00984F09" w:rsidRPr="0040589A" w:rsidRDefault="00984F09" w:rsidP="00984F09">
      <w:pPr>
        <w:spacing w:line="480" w:lineRule="auto"/>
        <w:ind w:left="720" w:hanging="360"/>
        <w:jc w:val="both"/>
      </w:pPr>
      <w:r>
        <w:t>1.</w:t>
      </w:r>
      <w:r>
        <w:tab/>
      </w:r>
      <w:r w:rsidRPr="0040589A">
        <w:t>A two-week baseline period that only involved the informational table in the student union.</w:t>
      </w:r>
    </w:p>
    <w:p w14:paraId="0EED6ED2" w14:textId="77777777" w:rsidR="00984F09" w:rsidRDefault="00984F09" w:rsidP="00984F09">
      <w:pPr>
        <w:spacing w:line="480" w:lineRule="auto"/>
        <w:ind w:left="720" w:hanging="360"/>
        <w:jc w:val="both"/>
      </w:pPr>
      <w:r>
        <w:t>2.</w:t>
      </w:r>
      <w:r>
        <w:tab/>
      </w:r>
      <w:r w:rsidRPr="0040589A">
        <w:t>A two-week period, weeks 3 and 4, during which the first theme was emphasized using posters, newspaper ads, the window display, and the radio call-in show.</w:t>
      </w:r>
    </w:p>
    <w:p w14:paraId="45C11CD2" w14:textId="77777777" w:rsidR="00984F09" w:rsidRPr="0040589A" w:rsidRDefault="00984F09" w:rsidP="00984F09">
      <w:pPr>
        <w:spacing w:line="480" w:lineRule="auto"/>
        <w:ind w:left="720" w:hanging="360"/>
        <w:jc w:val="both"/>
      </w:pPr>
      <w:r>
        <w:t>3.</w:t>
      </w:r>
      <w:r>
        <w:tab/>
      </w:r>
      <w:r w:rsidRPr="0040589A">
        <w:t>A two-week baseline period during which all materials for the first theme had been removed except for the materials at the information table.</w:t>
      </w:r>
    </w:p>
    <w:p w14:paraId="1C7B766A" w14:textId="77777777" w:rsidR="00984F09" w:rsidRPr="0040589A" w:rsidRDefault="00984F09" w:rsidP="00984F09">
      <w:pPr>
        <w:spacing w:line="480" w:lineRule="auto"/>
        <w:ind w:left="720" w:hanging="360"/>
        <w:jc w:val="both"/>
      </w:pPr>
      <w:r>
        <w:t>4.</w:t>
      </w:r>
      <w:r>
        <w:tab/>
      </w:r>
      <w:r w:rsidRPr="0040589A">
        <w:t>A two-week period, weeks 7 and 8, during which the second theme was emphasized in the same ways used with the first theme.</w:t>
      </w:r>
    </w:p>
    <w:p w14:paraId="477A76FB" w14:textId="77777777" w:rsidR="00984F09" w:rsidRPr="0040589A" w:rsidRDefault="00984F09" w:rsidP="00984F09">
      <w:pPr>
        <w:spacing w:line="480" w:lineRule="auto"/>
        <w:ind w:left="720" w:hanging="360"/>
        <w:jc w:val="both"/>
      </w:pPr>
      <w:r>
        <w:t>5.</w:t>
      </w:r>
      <w:r>
        <w:tab/>
      </w:r>
      <w:r w:rsidRPr="0040589A">
        <w:t>A two-week baseline period in which all campaign materials were removed including the information table.</w:t>
      </w:r>
    </w:p>
    <w:p w14:paraId="4033570C" w14:textId="77777777" w:rsidR="00984F09" w:rsidRPr="0040589A" w:rsidRDefault="00984F09" w:rsidP="00984F09">
      <w:pPr>
        <w:spacing w:line="480" w:lineRule="auto"/>
        <w:jc w:val="both"/>
      </w:pPr>
    </w:p>
    <w:p w14:paraId="0C9F355D" w14:textId="77777777" w:rsidR="00984F09" w:rsidRPr="0040589A" w:rsidRDefault="00984F09" w:rsidP="00984F09">
      <w:pPr>
        <w:spacing w:line="480" w:lineRule="auto"/>
        <w:jc w:val="both"/>
        <w:rPr>
          <w:b/>
          <w:bCs/>
        </w:rPr>
      </w:pPr>
      <w:r w:rsidRPr="0040589A">
        <w:rPr>
          <w:b/>
          <w:bCs/>
        </w:rPr>
        <w:t>TABLE 1 Timeline for Media Campaign and Evaluation Activities</w:t>
      </w:r>
    </w:p>
    <w:tbl>
      <w:tblPr>
        <w:tblW w:w="5000" w:type="pct"/>
        <w:tblCellMar>
          <w:left w:w="0" w:type="dxa"/>
          <w:right w:w="0" w:type="dxa"/>
        </w:tblCellMar>
        <w:tblLook w:val="0000" w:firstRow="0" w:lastRow="0" w:firstColumn="0" w:lastColumn="0" w:noHBand="0" w:noVBand="0"/>
      </w:tblPr>
      <w:tblGrid>
        <w:gridCol w:w="2216"/>
        <w:gridCol w:w="863"/>
        <w:gridCol w:w="670"/>
        <w:gridCol w:w="670"/>
        <w:gridCol w:w="444"/>
        <w:gridCol w:w="894"/>
        <w:gridCol w:w="670"/>
        <w:gridCol w:w="670"/>
        <w:gridCol w:w="670"/>
        <w:gridCol w:w="675"/>
        <w:gridCol w:w="587"/>
      </w:tblGrid>
      <w:tr w:rsidR="00984F09" w:rsidRPr="0040589A" w14:paraId="1828D990" w14:textId="77777777" w:rsidTr="00403210">
        <w:tblPrEx>
          <w:tblCellMar>
            <w:top w:w="0" w:type="dxa"/>
            <w:left w:w="0" w:type="dxa"/>
            <w:bottom w:w="0" w:type="dxa"/>
            <w:right w:w="0" w:type="dxa"/>
          </w:tblCellMar>
        </w:tblPrEx>
        <w:trPr>
          <w:trHeight w:val="401"/>
        </w:trPr>
        <w:tc>
          <w:tcPr>
            <w:tcW w:w="1227" w:type="pct"/>
            <w:tcBorders>
              <w:top w:val="nil"/>
              <w:left w:val="nil"/>
              <w:bottom w:val="single" w:sz="4" w:space="0" w:color="auto"/>
              <w:right w:val="nil"/>
            </w:tcBorders>
            <w:vAlign w:val="center"/>
          </w:tcPr>
          <w:p w14:paraId="52CEE7A2" w14:textId="77777777" w:rsidR="00984F09" w:rsidRPr="0040589A" w:rsidRDefault="00984F09" w:rsidP="00403210">
            <w:pPr>
              <w:spacing w:line="480" w:lineRule="auto"/>
            </w:pPr>
          </w:p>
        </w:tc>
        <w:tc>
          <w:tcPr>
            <w:tcW w:w="3773" w:type="pct"/>
            <w:gridSpan w:val="10"/>
            <w:tcBorders>
              <w:top w:val="nil"/>
              <w:left w:val="nil"/>
              <w:bottom w:val="single" w:sz="4" w:space="0" w:color="auto"/>
              <w:right w:val="nil"/>
            </w:tcBorders>
            <w:vAlign w:val="center"/>
          </w:tcPr>
          <w:p w14:paraId="66990A31" w14:textId="77777777" w:rsidR="00984F09" w:rsidRPr="0040589A" w:rsidRDefault="00984F09" w:rsidP="00403210">
            <w:pPr>
              <w:spacing w:line="480" w:lineRule="auto"/>
              <w:jc w:val="center"/>
            </w:pPr>
            <w:r w:rsidRPr="0040589A">
              <w:t>WEEK OF SEMESTER</w:t>
            </w:r>
          </w:p>
        </w:tc>
      </w:tr>
      <w:tr w:rsidR="00984F09" w:rsidRPr="0040589A" w14:paraId="4A4BAAB1" w14:textId="77777777" w:rsidTr="00403210">
        <w:tblPrEx>
          <w:tblCellMar>
            <w:top w:w="0" w:type="dxa"/>
            <w:left w:w="0" w:type="dxa"/>
            <w:bottom w:w="0" w:type="dxa"/>
            <w:right w:w="0" w:type="dxa"/>
          </w:tblCellMar>
        </w:tblPrEx>
        <w:trPr>
          <w:trHeight w:val="402"/>
        </w:trPr>
        <w:tc>
          <w:tcPr>
            <w:tcW w:w="1227" w:type="pct"/>
            <w:tcBorders>
              <w:top w:val="single" w:sz="4" w:space="0" w:color="auto"/>
              <w:left w:val="nil"/>
              <w:bottom w:val="nil"/>
              <w:right w:val="nil"/>
            </w:tcBorders>
            <w:vAlign w:val="center"/>
          </w:tcPr>
          <w:p w14:paraId="722F2208" w14:textId="77777777" w:rsidR="00984F09" w:rsidRPr="0040589A" w:rsidRDefault="00984F09" w:rsidP="00403210">
            <w:pPr>
              <w:spacing w:line="480" w:lineRule="auto"/>
            </w:pPr>
          </w:p>
        </w:tc>
        <w:tc>
          <w:tcPr>
            <w:tcW w:w="478" w:type="pct"/>
            <w:tcBorders>
              <w:top w:val="single" w:sz="4" w:space="0" w:color="auto"/>
              <w:left w:val="nil"/>
              <w:bottom w:val="nil"/>
              <w:right w:val="nil"/>
            </w:tcBorders>
            <w:vAlign w:val="center"/>
          </w:tcPr>
          <w:p w14:paraId="15397A01" w14:textId="77777777" w:rsidR="00984F09" w:rsidRPr="0040589A" w:rsidRDefault="00984F09" w:rsidP="00403210">
            <w:pPr>
              <w:spacing w:line="480" w:lineRule="auto"/>
              <w:jc w:val="center"/>
            </w:pPr>
            <w:r w:rsidRPr="0040589A">
              <w:t>1</w:t>
            </w:r>
          </w:p>
        </w:tc>
        <w:tc>
          <w:tcPr>
            <w:tcW w:w="371" w:type="pct"/>
            <w:tcBorders>
              <w:top w:val="single" w:sz="4" w:space="0" w:color="auto"/>
              <w:left w:val="nil"/>
              <w:bottom w:val="nil"/>
              <w:right w:val="nil"/>
            </w:tcBorders>
            <w:vAlign w:val="center"/>
          </w:tcPr>
          <w:p w14:paraId="590A3DD2" w14:textId="77777777" w:rsidR="00984F09" w:rsidRPr="0040589A" w:rsidRDefault="00984F09" w:rsidP="00403210">
            <w:pPr>
              <w:spacing w:line="480" w:lineRule="auto"/>
              <w:jc w:val="center"/>
            </w:pPr>
            <w:r w:rsidRPr="0040589A">
              <w:t>2</w:t>
            </w:r>
          </w:p>
        </w:tc>
        <w:tc>
          <w:tcPr>
            <w:tcW w:w="371" w:type="pct"/>
            <w:tcBorders>
              <w:top w:val="single" w:sz="4" w:space="0" w:color="auto"/>
              <w:left w:val="nil"/>
              <w:bottom w:val="nil"/>
              <w:right w:val="nil"/>
            </w:tcBorders>
            <w:vAlign w:val="center"/>
          </w:tcPr>
          <w:p w14:paraId="78F289BC" w14:textId="77777777" w:rsidR="00984F09" w:rsidRPr="0040589A" w:rsidRDefault="00984F09" w:rsidP="00403210">
            <w:pPr>
              <w:spacing w:line="480" w:lineRule="auto"/>
              <w:jc w:val="center"/>
            </w:pPr>
            <w:r w:rsidRPr="0040589A">
              <w:t>3</w:t>
            </w:r>
          </w:p>
        </w:tc>
        <w:tc>
          <w:tcPr>
            <w:tcW w:w="246" w:type="pct"/>
            <w:tcBorders>
              <w:top w:val="single" w:sz="4" w:space="0" w:color="auto"/>
              <w:left w:val="nil"/>
              <w:bottom w:val="nil"/>
              <w:right w:val="nil"/>
            </w:tcBorders>
            <w:vAlign w:val="center"/>
          </w:tcPr>
          <w:p w14:paraId="0B9AF972" w14:textId="77777777" w:rsidR="00984F09" w:rsidRPr="0040589A" w:rsidRDefault="00984F09" w:rsidP="00403210">
            <w:pPr>
              <w:spacing w:line="480" w:lineRule="auto"/>
              <w:jc w:val="center"/>
            </w:pPr>
            <w:r w:rsidRPr="0040589A">
              <w:t>4</w:t>
            </w:r>
          </w:p>
        </w:tc>
        <w:tc>
          <w:tcPr>
            <w:tcW w:w="495" w:type="pct"/>
            <w:tcBorders>
              <w:top w:val="single" w:sz="4" w:space="0" w:color="auto"/>
              <w:left w:val="nil"/>
              <w:bottom w:val="nil"/>
              <w:right w:val="nil"/>
            </w:tcBorders>
            <w:vAlign w:val="center"/>
          </w:tcPr>
          <w:p w14:paraId="53603F8A" w14:textId="77777777" w:rsidR="00984F09" w:rsidRPr="0040589A" w:rsidRDefault="00984F09" w:rsidP="00403210">
            <w:pPr>
              <w:spacing w:line="480" w:lineRule="auto"/>
              <w:jc w:val="center"/>
            </w:pPr>
            <w:r w:rsidRPr="0040589A">
              <w:t>5</w:t>
            </w:r>
          </w:p>
        </w:tc>
        <w:tc>
          <w:tcPr>
            <w:tcW w:w="371" w:type="pct"/>
            <w:tcBorders>
              <w:top w:val="single" w:sz="4" w:space="0" w:color="auto"/>
              <w:left w:val="nil"/>
              <w:bottom w:val="nil"/>
              <w:right w:val="nil"/>
            </w:tcBorders>
            <w:vAlign w:val="center"/>
          </w:tcPr>
          <w:p w14:paraId="2E7262A8" w14:textId="77777777" w:rsidR="00984F09" w:rsidRPr="0040589A" w:rsidRDefault="00984F09" w:rsidP="00403210">
            <w:pPr>
              <w:spacing w:line="480" w:lineRule="auto"/>
              <w:jc w:val="center"/>
            </w:pPr>
            <w:r w:rsidRPr="0040589A">
              <w:t>6</w:t>
            </w:r>
          </w:p>
        </w:tc>
        <w:tc>
          <w:tcPr>
            <w:tcW w:w="371" w:type="pct"/>
            <w:tcBorders>
              <w:top w:val="single" w:sz="4" w:space="0" w:color="auto"/>
              <w:left w:val="nil"/>
              <w:bottom w:val="nil"/>
              <w:right w:val="nil"/>
            </w:tcBorders>
            <w:vAlign w:val="center"/>
          </w:tcPr>
          <w:p w14:paraId="753F927B" w14:textId="77777777" w:rsidR="00984F09" w:rsidRPr="0040589A" w:rsidRDefault="00984F09" w:rsidP="00403210">
            <w:pPr>
              <w:spacing w:line="480" w:lineRule="auto"/>
              <w:jc w:val="center"/>
            </w:pPr>
            <w:r w:rsidRPr="0040589A">
              <w:t>7</w:t>
            </w:r>
          </w:p>
        </w:tc>
        <w:tc>
          <w:tcPr>
            <w:tcW w:w="371" w:type="pct"/>
            <w:tcBorders>
              <w:top w:val="single" w:sz="4" w:space="0" w:color="auto"/>
              <w:left w:val="nil"/>
              <w:bottom w:val="nil"/>
              <w:right w:val="nil"/>
            </w:tcBorders>
            <w:vAlign w:val="center"/>
          </w:tcPr>
          <w:p w14:paraId="22E37584" w14:textId="77777777" w:rsidR="00984F09" w:rsidRPr="0040589A" w:rsidRDefault="00984F09" w:rsidP="00403210">
            <w:pPr>
              <w:spacing w:line="480" w:lineRule="auto"/>
              <w:jc w:val="center"/>
            </w:pPr>
            <w:r w:rsidRPr="0040589A">
              <w:t>8</w:t>
            </w:r>
          </w:p>
        </w:tc>
        <w:tc>
          <w:tcPr>
            <w:tcW w:w="374" w:type="pct"/>
            <w:tcBorders>
              <w:top w:val="single" w:sz="4" w:space="0" w:color="auto"/>
              <w:left w:val="nil"/>
              <w:bottom w:val="nil"/>
              <w:right w:val="nil"/>
            </w:tcBorders>
            <w:vAlign w:val="center"/>
          </w:tcPr>
          <w:p w14:paraId="0B20141C" w14:textId="77777777" w:rsidR="00984F09" w:rsidRPr="0040589A" w:rsidRDefault="00984F09" w:rsidP="00403210">
            <w:pPr>
              <w:spacing w:line="480" w:lineRule="auto"/>
              <w:jc w:val="center"/>
            </w:pPr>
            <w:r w:rsidRPr="0040589A">
              <w:t>9</w:t>
            </w:r>
          </w:p>
        </w:tc>
        <w:tc>
          <w:tcPr>
            <w:tcW w:w="325" w:type="pct"/>
            <w:tcBorders>
              <w:top w:val="single" w:sz="4" w:space="0" w:color="auto"/>
              <w:left w:val="nil"/>
              <w:bottom w:val="nil"/>
              <w:right w:val="nil"/>
            </w:tcBorders>
            <w:vAlign w:val="center"/>
          </w:tcPr>
          <w:p w14:paraId="68B030C3" w14:textId="77777777" w:rsidR="00984F09" w:rsidRPr="0040589A" w:rsidRDefault="00984F09" w:rsidP="00403210">
            <w:pPr>
              <w:spacing w:line="480" w:lineRule="auto"/>
              <w:jc w:val="center"/>
            </w:pPr>
            <w:r w:rsidRPr="0040589A">
              <w:t>10</w:t>
            </w:r>
          </w:p>
        </w:tc>
      </w:tr>
      <w:tr w:rsidR="00984F09" w:rsidRPr="0040589A" w14:paraId="103F0C36" w14:textId="77777777" w:rsidTr="00403210">
        <w:tblPrEx>
          <w:tblCellMar>
            <w:top w:w="0" w:type="dxa"/>
            <w:left w:w="0" w:type="dxa"/>
            <w:bottom w:w="0" w:type="dxa"/>
            <w:right w:w="0" w:type="dxa"/>
          </w:tblCellMar>
        </w:tblPrEx>
        <w:trPr>
          <w:trHeight w:val="402"/>
        </w:trPr>
        <w:tc>
          <w:tcPr>
            <w:tcW w:w="1227" w:type="pct"/>
            <w:tcBorders>
              <w:top w:val="nil"/>
              <w:left w:val="nil"/>
              <w:bottom w:val="nil"/>
              <w:right w:val="nil"/>
            </w:tcBorders>
            <w:vAlign w:val="center"/>
          </w:tcPr>
          <w:p w14:paraId="53E019D2" w14:textId="77777777" w:rsidR="00984F09" w:rsidRPr="0040589A" w:rsidRDefault="00984F09" w:rsidP="00403210">
            <w:pPr>
              <w:spacing w:line="480" w:lineRule="auto"/>
            </w:pPr>
            <w:r w:rsidRPr="0040589A">
              <w:t>Media*:</w:t>
            </w:r>
          </w:p>
        </w:tc>
        <w:tc>
          <w:tcPr>
            <w:tcW w:w="478" w:type="pct"/>
            <w:tcBorders>
              <w:top w:val="nil"/>
              <w:left w:val="nil"/>
              <w:bottom w:val="nil"/>
              <w:right w:val="nil"/>
            </w:tcBorders>
            <w:vAlign w:val="center"/>
          </w:tcPr>
          <w:p w14:paraId="574B7F1B" w14:textId="77777777" w:rsidR="00984F09" w:rsidRPr="0040589A" w:rsidRDefault="00984F09" w:rsidP="00403210">
            <w:pPr>
              <w:spacing w:line="480" w:lineRule="auto"/>
              <w:jc w:val="center"/>
            </w:pPr>
          </w:p>
        </w:tc>
        <w:tc>
          <w:tcPr>
            <w:tcW w:w="371" w:type="pct"/>
            <w:tcBorders>
              <w:top w:val="nil"/>
              <w:left w:val="nil"/>
              <w:bottom w:val="nil"/>
              <w:right w:val="nil"/>
            </w:tcBorders>
            <w:vAlign w:val="center"/>
          </w:tcPr>
          <w:p w14:paraId="06580548" w14:textId="77777777" w:rsidR="00984F09" w:rsidRPr="0040589A" w:rsidRDefault="00984F09" w:rsidP="00403210">
            <w:pPr>
              <w:spacing w:line="480" w:lineRule="auto"/>
              <w:jc w:val="center"/>
            </w:pPr>
          </w:p>
        </w:tc>
        <w:tc>
          <w:tcPr>
            <w:tcW w:w="371" w:type="pct"/>
            <w:tcBorders>
              <w:top w:val="nil"/>
              <w:left w:val="nil"/>
              <w:bottom w:val="nil"/>
              <w:right w:val="nil"/>
            </w:tcBorders>
            <w:vAlign w:val="center"/>
          </w:tcPr>
          <w:p w14:paraId="79CF3FCB" w14:textId="77777777" w:rsidR="00984F09" w:rsidRPr="0040589A" w:rsidRDefault="00984F09" w:rsidP="00403210">
            <w:pPr>
              <w:spacing w:line="480" w:lineRule="auto"/>
              <w:jc w:val="center"/>
            </w:pPr>
          </w:p>
        </w:tc>
        <w:tc>
          <w:tcPr>
            <w:tcW w:w="246" w:type="pct"/>
            <w:tcBorders>
              <w:top w:val="nil"/>
              <w:left w:val="nil"/>
              <w:bottom w:val="nil"/>
              <w:right w:val="nil"/>
            </w:tcBorders>
            <w:vAlign w:val="center"/>
          </w:tcPr>
          <w:p w14:paraId="1ECF4822" w14:textId="77777777" w:rsidR="00984F09" w:rsidRPr="0040589A" w:rsidRDefault="00984F09" w:rsidP="00403210">
            <w:pPr>
              <w:spacing w:line="480" w:lineRule="auto"/>
              <w:jc w:val="center"/>
            </w:pPr>
          </w:p>
        </w:tc>
        <w:tc>
          <w:tcPr>
            <w:tcW w:w="495" w:type="pct"/>
            <w:tcBorders>
              <w:top w:val="nil"/>
              <w:left w:val="nil"/>
              <w:bottom w:val="nil"/>
              <w:right w:val="nil"/>
            </w:tcBorders>
            <w:vAlign w:val="center"/>
          </w:tcPr>
          <w:p w14:paraId="110EFDB9" w14:textId="77777777" w:rsidR="00984F09" w:rsidRPr="0040589A" w:rsidRDefault="00984F09" w:rsidP="00403210">
            <w:pPr>
              <w:spacing w:line="480" w:lineRule="auto"/>
              <w:jc w:val="center"/>
            </w:pPr>
          </w:p>
        </w:tc>
        <w:tc>
          <w:tcPr>
            <w:tcW w:w="371" w:type="pct"/>
            <w:tcBorders>
              <w:top w:val="nil"/>
              <w:left w:val="nil"/>
              <w:bottom w:val="nil"/>
              <w:right w:val="nil"/>
            </w:tcBorders>
            <w:vAlign w:val="center"/>
          </w:tcPr>
          <w:p w14:paraId="07284C9F" w14:textId="77777777" w:rsidR="00984F09" w:rsidRPr="0040589A" w:rsidRDefault="00984F09" w:rsidP="00403210">
            <w:pPr>
              <w:spacing w:line="480" w:lineRule="auto"/>
              <w:jc w:val="center"/>
            </w:pPr>
          </w:p>
        </w:tc>
        <w:tc>
          <w:tcPr>
            <w:tcW w:w="371" w:type="pct"/>
            <w:tcBorders>
              <w:top w:val="nil"/>
              <w:left w:val="nil"/>
              <w:bottom w:val="nil"/>
              <w:right w:val="nil"/>
            </w:tcBorders>
            <w:vAlign w:val="center"/>
          </w:tcPr>
          <w:p w14:paraId="30101BE5" w14:textId="77777777" w:rsidR="00984F09" w:rsidRPr="0040589A" w:rsidRDefault="00984F09" w:rsidP="00403210">
            <w:pPr>
              <w:spacing w:line="480" w:lineRule="auto"/>
              <w:jc w:val="center"/>
            </w:pPr>
          </w:p>
        </w:tc>
        <w:tc>
          <w:tcPr>
            <w:tcW w:w="371" w:type="pct"/>
            <w:tcBorders>
              <w:top w:val="nil"/>
              <w:left w:val="nil"/>
              <w:bottom w:val="nil"/>
              <w:right w:val="nil"/>
            </w:tcBorders>
            <w:vAlign w:val="center"/>
          </w:tcPr>
          <w:p w14:paraId="750AF981" w14:textId="77777777" w:rsidR="00984F09" w:rsidRPr="0040589A" w:rsidRDefault="00984F09" w:rsidP="00403210">
            <w:pPr>
              <w:spacing w:line="480" w:lineRule="auto"/>
              <w:jc w:val="center"/>
            </w:pPr>
          </w:p>
        </w:tc>
        <w:tc>
          <w:tcPr>
            <w:tcW w:w="374" w:type="pct"/>
            <w:tcBorders>
              <w:top w:val="nil"/>
              <w:left w:val="nil"/>
              <w:bottom w:val="nil"/>
              <w:right w:val="nil"/>
            </w:tcBorders>
            <w:vAlign w:val="center"/>
          </w:tcPr>
          <w:p w14:paraId="4112B77C" w14:textId="77777777" w:rsidR="00984F09" w:rsidRPr="0040589A" w:rsidRDefault="00984F09" w:rsidP="00403210">
            <w:pPr>
              <w:spacing w:line="480" w:lineRule="auto"/>
              <w:jc w:val="center"/>
            </w:pPr>
          </w:p>
        </w:tc>
        <w:tc>
          <w:tcPr>
            <w:tcW w:w="325" w:type="pct"/>
            <w:tcBorders>
              <w:top w:val="nil"/>
              <w:left w:val="nil"/>
              <w:bottom w:val="nil"/>
              <w:right w:val="nil"/>
            </w:tcBorders>
            <w:vAlign w:val="center"/>
          </w:tcPr>
          <w:p w14:paraId="0615E000" w14:textId="77777777" w:rsidR="00984F09" w:rsidRPr="0040589A" w:rsidRDefault="00984F09" w:rsidP="00403210">
            <w:pPr>
              <w:spacing w:line="480" w:lineRule="auto"/>
              <w:jc w:val="center"/>
            </w:pPr>
          </w:p>
        </w:tc>
      </w:tr>
      <w:tr w:rsidR="00984F09" w:rsidRPr="0040589A" w14:paraId="536A333B" w14:textId="77777777" w:rsidTr="00403210">
        <w:tblPrEx>
          <w:tblCellMar>
            <w:top w:w="0" w:type="dxa"/>
            <w:left w:w="0" w:type="dxa"/>
            <w:bottom w:w="0" w:type="dxa"/>
            <w:right w:w="0" w:type="dxa"/>
          </w:tblCellMar>
        </w:tblPrEx>
        <w:trPr>
          <w:trHeight w:val="402"/>
        </w:trPr>
        <w:tc>
          <w:tcPr>
            <w:tcW w:w="1227" w:type="pct"/>
            <w:tcBorders>
              <w:top w:val="nil"/>
              <w:left w:val="nil"/>
              <w:bottom w:val="nil"/>
              <w:right w:val="nil"/>
            </w:tcBorders>
            <w:vAlign w:val="center"/>
          </w:tcPr>
          <w:p w14:paraId="5DC42D89" w14:textId="77777777" w:rsidR="00984F09" w:rsidRPr="0040589A" w:rsidRDefault="00984F09" w:rsidP="00403210">
            <w:pPr>
              <w:spacing w:line="480" w:lineRule="auto"/>
              <w:ind w:left="360"/>
            </w:pPr>
            <w:r w:rsidRPr="0040589A">
              <w:t>Theme 1</w:t>
            </w:r>
          </w:p>
        </w:tc>
        <w:tc>
          <w:tcPr>
            <w:tcW w:w="478" w:type="pct"/>
            <w:tcBorders>
              <w:top w:val="nil"/>
              <w:left w:val="nil"/>
              <w:bottom w:val="nil"/>
              <w:right w:val="nil"/>
            </w:tcBorders>
            <w:vAlign w:val="center"/>
          </w:tcPr>
          <w:p w14:paraId="4A13CA45" w14:textId="77777777" w:rsidR="00984F09" w:rsidRPr="0040589A" w:rsidRDefault="00984F09" w:rsidP="00403210">
            <w:pPr>
              <w:spacing w:line="480" w:lineRule="auto"/>
              <w:jc w:val="center"/>
            </w:pPr>
            <w:r w:rsidRPr="0040589A">
              <w:t>O</w:t>
            </w:r>
          </w:p>
        </w:tc>
        <w:tc>
          <w:tcPr>
            <w:tcW w:w="371" w:type="pct"/>
            <w:tcBorders>
              <w:top w:val="nil"/>
              <w:left w:val="nil"/>
              <w:bottom w:val="nil"/>
              <w:right w:val="nil"/>
            </w:tcBorders>
            <w:vAlign w:val="center"/>
          </w:tcPr>
          <w:p w14:paraId="74438950" w14:textId="77777777" w:rsidR="00984F09" w:rsidRPr="0040589A" w:rsidRDefault="00984F09" w:rsidP="00403210">
            <w:pPr>
              <w:spacing w:line="480" w:lineRule="auto"/>
              <w:jc w:val="center"/>
            </w:pPr>
            <w:r w:rsidRPr="0040589A">
              <w:t>O</w:t>
            </w:r>
          </w:p>
        </w:tc>
        <w:tc>
          <w:tcPr>
            <w:tcW w:w="371" w:type="pct"/>
            <w:tcBorders>
              <w:top w:val="nil"/>
              <w:left w:val="nil"/>
              <w:bottom w:val="nil"/>
              <w:right w:val="nil"/>
            </w:tcBorders>
            <w:vAlign w:val="center"/>
          </w:tcPr>
          <w:p w14:paraId="5DF7B081" w14:textId="77777777" w:rsidR="00984F09" w:rsidRPr="0040589A" w:rsidRDefault="00984F09" w:rsidP="00403210">
            <w:pPr>
              <w:spacing w:line="480" w:lineRule="auto"/>
              <w:jc w:val="center"/>
            </w:pPr>
            <w:r w:rsidRPr="0040589A">
              <w:t>X</w:t>
            </w:r>
          </w:p>
        </w:tc>
        <w:tc>
          <w:tcPr>
            <w:tcW w:w="246" w:type="pct"/>
            <w:tcBorders>
              <w:top w:val="nil"/>
              <w:left w:val="nil"/>
              <w:bottom w:val="nil"/>
              <w:right w:val="nil"/>
            </w:tcBorders>
            <w:vAlign w:val="center"/>
          </w:tcPr>
          <w:p w14:paraId="023B3B2E" w14:textId="77777777" w:rsidR="00984F09" w:rsidRPr="0040589A" w:rsidRDefault="00984F09" w:rsidP="00403210">
            <w:pPr>
              <w:spacing w:line="480" w:lineRule="auto"/>
              <w:jc w:val="center"/>
            </w:pPr>
            <w:r w:rsidRPr="0040589A">
              <w:t>X</w:t>
            </w:r>
          </w:p>
        </w:tc>
        <w:tc>
          <w:tcPr>
            <w:tcW w:w="495" w:type="pct"/>
            <w:tcBorders>
              <w:top w:val="nil"/>
              <w:left w:val="nil"/>
              <w:bottom w:val="nil"/>
              <w:right w:val="nil"/>
            </w:tcBorders>
            <w:vAlign w:val="center"/>
          </w:tcPr>
          <w:p w14:paraId="3559FFEB" w14:textId="77777777" w:rsidR="00984F09" w:rsidRPr="0040589A" w:rsidRDefault="00984F09" w:rsidP="00403210">
            <w:pPr>
              <w:spacing w:line="480" w:lineRule="auto"/>
              <w:jc w:val="center"/>
            </w:pPr>
            <w:r w:rsidRPr="0040589A">
              <w:t>O</w:t>
            </w:r>
          </w:p>
        </w:tc>
        <w:tc>
          <w:tcPr>
            <w:tcW w:w="371" w:type="pct"/>
            <w:tcBorders>
              <w:top w:val="nil"/>
              <w:left w:val="nil"/>
              <w:bottom w:val="nil"/>
              <w:right w:val="nil"/>
            </w:tcBorders>
            <w:vAlign w:val="center"/>
          </w:tcPr>
          <w:p w14:paraId="58BBBAA8" w14:textId="77777777" w:rsidR="00984F09" w:rsidRPr="0040589A" w:rsidRDefault="00984F09" w:rsidP="00403210">
            <w:pPr>
              <w:spacing w:line="480" w:lineRule="auto"/>
              <w:jc w:val="center"/>
            </w:pPr>
            <w:r w:rsidRPr="0040589A">
              <w:t>O</w:t>
            </w:r>
          </w:p>
        </w:tc>
        <w:tc>
          <w:tcPr>
            <w:tcW w:w="371" w:type="pct"/>
            <w:tcBorders>
              <w:top w:val="nil"/>
              <w:left w:val="nil"/>
              <w:bottom w:val="nil"/>
              <w:right w:val="nil"/>
            </w:tcBorders>
            <w:vAlign w:val="center"/>
          </w:tcPr>
          <w:p w14:paraId="34F4992C" w14:textId="77777777" w:rsidR="00984F09" w:rsidRPr="0040589A" w:rsidRDefault="00984F09" w:rsidP="00403210">
            <w:pPr>
              <w:spacing w:line="480" w:lineRule="auto"/>
              <w:jc w:val="center"/>
            </w:pPr>
            <w:r w:rsidRPr="0040589A">
              <w:t>O</w:t>
            </w:r>
          </w:p>
        </w:tc>
        <w:tc>
          <w:tcPr>
            <w:tcW w:w="371" w:type="pct"/>
            <w:tcBorders>
              <w:top w:val="nil"/>
              <w:left w:val="nil"/>
              <w:bottom w:val="nil"/>
              <w:right w:val="nil"/>
            </w:tcBorders>
            <w:vAlign w:val="center"/>
          </w:tcPr>
          <w:p w14:paraId="26A4F42B" w14:textId="77777777" w:rsidR="00984F09" w:rsidRPr="0040589A" w:rsidRDefault="00984F09" w:rsidP="00403210">
            <w:pPr>
              <w:spacing w:line="480" w:lineRule="auto"/>
              <w:jc w:val="center"/>
            </w:pPr>
            <w:r w:rsidRPr="0040589A">
              <w:t>O</w:t>
            </w:r>
          </w:p>
        </w:tc>
        <w:tc>
          <w:tcPr>
            <w:tcW w:w="374" w:type="pct"/>
            <w:tcBorders>
              <w:top w:val="nil"/>
              <w:left w:val="nil"/>
              <w:bottom w:val="nil"/>
              <w:right w:val="nil"/>
            </w:tcBorders>
            <w:vAlign w:val="center"/>
          </w:tcPr>
          <w:p w14:paraId="2137DE87" w14:textId="77777777" w:rsidR="00984F09" w:rsidRPr="0040589A" w:rsidRDefault="00984F09" w:rsidP="00403210">
            <w:pPr>
              <w:spacing w:line="480" w:lineRule="auto"/>
              <w:jc w:val="center"/>
            </w:pPr>
            <w:r w:rsidRPr="0040589A">
              <w:t>O</w:t>
            </w:r>
          </w:p>
        </w:tc>
        <w:tc>
          <w:tcPr>
            <w:tcW w:w="325" w:type="pct"/>
            <w:tcBorders>
              <w:top w:val="nil"/>
              <w:left w:val="nil"/>
              <w:bottom w:val="nil"/>
              <w:right w:val="nil"/>
            </w:tcBorders>
            <w:vAlign w:val="center"/>
          </w:tcPr>
          <w:p w14:paraId="7760B0C3" w14:textId="77777777" w:rsidR="00984F09" w:rsidRPr="0040589A" w:rsidRDefault="00984F09" w:rsidP="00403210">
            <w:pPr>
              <w:spacing w:line="480" w:lineRule="auto"/>
              <w:jc w:val="center"/>
            </w:pPr>
            <w:r w:rsidRPr="0040589A">
              <w:t>O</w:t>
            </w:r>
          </w:p>
        </w:tc>
      </w:tr>
      <w:tr w:rsidR="00984F09" w:rsidRPr="0040589A" w14:paraId="079ED36C" w14:textId="77777777" w:rsidTr="00403210">
        <w:tblPrEx>
          <w:tblCellMar>
            <w:top w:w="0" w:type="dxa"/>
            <w:left w:w="0" w:type="dxa"/>
            <w:bottom w:w="0" w:type="dxa"/>
            <w:right w:w="0" w:type="dxa"/>
          </w:tblCellMar>
        </w:tblPrEx>
        <w:trPr>
          <w:trHeight w:val="402"/>
        </w:trPr>
        <w:tc>
          <w:tcPr>
            <w:tcW w:w="1227" w:type="pct"/>
            <w:tcBorders>
              <w:top w:val="nil"/>
              <w:left w:val="nil"/>
              <w:bottom w:val="nil"/>
              <w:right w:val="nil"/>
            </w:tcBorders>
            <w:vAlign w:val="center"/>
          </w:tcPr>
          <w:p w14:paraId="2C3C4B28" w14:textId="77777777" w:rsidR="00984F09" w:rsidRPr="0040589A" w:rsidRDefault="00984F09" w:rsidP="00403210">
            <w:pPr>
              <w:spacing w:line="480" w:lineRule="auto"/>
              <w:ind w:left="360"/>
            </w:pPr>
            <w:r w:rsidRPr="0040589A">
              <w:t>Theme 2</w:t>
            </w:r>
          </w:p>
        </w:tc>
        <w:tc>
          <w:tcPr>
            <w:tcW w:w="478" w:type="pct"/>
            <w:tcBorders>
              <w:top w:val="nil"/>
              <w:left w:val="nil"/>
              <w:bottom w:val="nil"/>
              <w:right w:val="nil"/>
            </w:tcBorders>
            <w:vAlign w:val="center"/>
          </w:tcPr>
          <w:p w14:paraId="201C0684" w14:textId="77777777" w:rsidR="00984F09" w:rsidRPr="0040589A" w:rsidRDefault="00984F09" w:rsidP="00403210">
            <w:pPr>
              <w:spacing w:line="480" w:lineRule="auto"/>
              <w:jc w:val="center"/>
            </w:pPr>
            <w:r w:rsidRPr="0040589A">
              <w:t>O</w:t>
            </w:r>
          </w:p>
        </w:tc>
        <w:tc>
          <w:tcPr>
            <w:tcW w:w="371" w:type="pct"/>
            <w:tcBorders>
              <w:top w:val="nil"/>
              <w:left w:val="nil"/>
              <w:bottom w:val="nil"/>
              <w:right w:val="nil"/>
            </w:tcBorders>
            <w:vAlign w:val="center"/>
          </w:tcPr>
          <w:p w14:paraId="6E32A648" w14:textId="77777777" w:rsidR="00984F09" w:rsidRPr="0040589A" w:rsidRDefault="00984F09" w:rsidP="00403210">
            <w:pPr>
              <w:spacing w:line="480" w:lineRule="auto"/>
              <w:jc w:val="center"/>
            </w:pPr>
            <w:r w:rsidRPr="0040589A">
              <w:t>O</w:t>
            </w:r>
          </w:p>
        </w:tc>
        <w:tc>
          <w:tcPr>
            <w:tcW w:w="371" w:type="pct"/>
            <w:tcBorders>
              <w:top w:val="nil"/>
              <w:left w:val="nil"/>
              <w:bottom w:val="nil"/>
              <w:right w:val="nil"/>
            </w:tcBorders>
            <w:vAlign w:val="center"/>
          </w:tcPr>
          <w:p w14:paraId="2821F811" w14:textId="77777777" w:rsidR="00984F09" w:rsidRPr="0040589A" w:rsidRDefault="00984F09" w:rsidP="00403210">
            <w:pPr>
              <w:spacing w:line="480" w:lineRule="auto"/>
              <w:jc w:val="center"/>
            </w:pPr>
            <w:r w:rsidRPr="0040589A">
              <w:t>O</w:t>
            </w:r>
          </w:p>
        </w:tc>
        <w:tc>
          <w:tcPr>
            <w:tcW w:w="246" w:type="pct"/>
            <w:tcBorders>
              <w:top w:val="nil"/>
              <w:left w:val="nil"/>
              <w:bottom w:val="nil"/>
              <w:right w:val="nil"/>
            </w:tcBorders>
            <w:vAlign w:val="center"/>
          </w:tcPr>
          <w:p w14:paraId="3A366AD5" w14:textId="77777777" w:rsidR="00984F09" w:rsidRPr="0040589A" w:rsidRDefault="00984F09" w:rsidP="00403210">
            <w:pPr>
              <w:spacing w:line="480" w:lineRule="auto"/>
              <w:jc w:val="center"/>
            </w:pPr>
            <w:r w:rsidRPr="0040589A">
              <w:t>O</w:t>
            </w:r>
          </w:p>
        </w:tc>
        <w:tc>
          <w:tcPr>
            <w:tcW w:w="495" w:type="pct"/>
            <w:tcBorders>
              <w:top w:val="nil"/>
              <w:left w:val="nil"/>
              <w:bottom w:val="nil"/>
              <w:right w:val="nil"/>
            </w:tcBorders>
            <w:vAlign w:val="center"/>
          </w:tcPr>
          <w:p w14:paraId="54AD523B" w14:textId="77777777" w:rsidR="00984F09" w:rsidRPr="0040589A" w:rsidRDefault="00984F09" w:rsidP="00403210">
            <w:pPr>
              <w:spacing w:line="480" w:lineRule="auto"/>
              <w:jc w:val="center"/>
            </w:pPr>
            <w:r w:rsidRPr="0040589A">
              <w:t>O</w:t>
            </w:r>
          </w:p>
        </w:tc>
        <w:tc>
          <w:tcPr>
            <w:tcW w:w="371" w:type="pct"/>
            <w:tcBorders>
              <w:top w:val="nil"/>
              <w:left w:val="nil"/>
              <w:bottom w:val="nil"/>
              <w:right w:val="nil"/>
            </w:tcBorders>
            <w:vAlign w:val="center"/>
          </w:tcPr>
          <w:p w14:paraId="18388E02" w14:textId="77777777" w:rsidR="00984F09" w:rsidRPr="0040589A" w:rsidRDefault="00984F09" w:rsidP="00403210">
            <w:pPr>
              <w:spacing w:line="480" w:lineRule="auto"/>
              <w:jc w:val="center"/>
            </w:pPr>
            <w:r w:rsidRPr="0040589A">
              <w:t>O</w:t>
            </w:r>
          </w:p>
        </w:tc>
        <w:tc>
          <w:tcPr>
            <w:tcW w:w="371" w:type="pct"/>
            <w:tcBorders>
              <w:top w:val="nil"/>
              <w:left w:val="nil"/>
              <w:bottom w:val="nil"/>
              <w:right w:val="nil"/>
            </w:tcBorders>
            <w:vAlign w:val="center"/>
          </w:tcPr>
          <w:p w14:paraId="4CAC9DC5" w14:textId="77777777" w:rsidR="00984F09" w:rsidRPr="0040589A" w:rsidRDefault="00984F09" w:rsidP="00403210">
            <w:pPr>
              <w:spacing w:line="480" w:lineRule="auto"/>
              <w:jc w:val="center"/>
            </w:pPr>
            <w:r w:rsidRPr="0040589A">
              <w:t>X</w:t>
            </w:r>
          </w:p>
        </w:tc>
        <w:tc>
          <w:tcPr>
            <w:tcW w:w="371" w:type="pct"/>
            <w:tcBorders>
              <w:top w:val="nil"/>
              <w:left w:val="nil"/>
              <w:bottom w:val="nil"/>
              <w:right w:val="nil"/>
            </w:tcBorders>
            <w:vAlign w:val="center"/>
          </w:tcPr>
          <w:p w14:paraId="152D6D81" w14:textId="77777777" w:rsidR="00984F09" w:rsidRPr="0040589A" w:rsidRDefault="00984F09" w:rsidP="00403210">
            <w:pPr>
              <w:spacing w:line="480" w:lineRule="auto"/>
              <w:jc w:val="center"/>
            </w:pPr>
            <w:r w:rsidRPr="0040589A">
              <w:t>X</w:t>
            </w:r>
          </w:p>
        </w:tc>
        <w:tc>
          <w:tcPr>
            <w:tcW w:w="374" w:type="pct"/>
            <w:tcBorders>
              <w:top w:val="nil"/>
              <w:left w:val="nil"/>
              <w:bottom w:val="nil"/>
              <w:right w:val="nil"/>
            </w:tcBorders>
            <w:vAlign w:val="center"/>
          </w:tcPr>
          <w:p w14:paraId="0ACEA6AA" w14:textId="77777777" w:rsidR="00984F09" w:rsidRPr="0040589A" w:rsidRDefault="00984F09" w:rsidP="00403210">
            <w:pPr>
              <w:spacing w:line="480" w:lineRule="auto"/>
              <w:jc w:val="center"/>
            </w:pPr>
            <w:r w:rsidRPr="0040589A">
              <w:t>O</w:t>
            </w:r>
          </w:p>
        </w:tc>
        <w:tc>
          <w:tcPr>
            <w:tcW w:w="325" w:type="pct"/>
            <w:tcBorders>
              <w:top w:val="nil"/>
              <w:left w:val="nil"/>
              <w:bottom w:val="nil"/>
              <w:right w:val="nil"/>
            </w:tcBorders>
            <w:vAlign w:val="center"/>
          </w:tcPr>
          <w:p w14:paraId="34DC6F19" w14:textId="77777777" w:rsidR="00984F09" w:rsidRPr="0040589A" w:rsidRDefault="00984F09" w:rsidP="00403210">
            <w:pPr>
              <w:spacing w:line="480" w:lineRule="auto"/>
              <w:jc w:val="center"/>
            </w:pPr>
            <w:r w:rsidRPr="0040589A">
              <w:t>O</w:t>
            </w:r>
          </w:p>
        </w:tc>
      </w:tr>
      <w:tr w:rsidR="00984F09" w:rsidRPr="0040589A" w14:paraId="04BA8FC9" w14:textId="77777777" w:rsidTr="00403210">
        <w:tblPrEx>
          <w:tblCellMar>
            <w:top w:w="0" w:type="dxa"/>
            <w:left w:w="0" w:type="dxa"/>
            <w:bottom w:w="0" w:type="dxa"/>
            <w:right w:w="0" w:type="dxa"/>
          </w:tblCellMar>
        </w:tblPrEx>
        <w:trPr>
          <w:trHeight w:val="402"/>
        </w:trPr>
        <w:tc>
          <w:tcPr>
            <w:tcW w:w="1227" w:type="pct"/>
            <w:tcBorders>
              <w:top w:val="nil"/>
              <w:left w:val="nil"/>
              <w:bottom w:val="nil"/>
              <w:right w:val="nil"/>
            </w:tcBorders>
            <w:vAlign w:val="center"/>
          </w:tcPr>
          <w:p w14:paraId="732198B1" w14:textId="77777777" w:rsidR="00984F09" w:rsidRPr="0040589A" w:rsidRDefault="00984F09" w:rsidP="00403210">
            <w:pPr>
              <w:spacing w:line="480" w:lineRule="auto"/>
            </w:pPr>
            <w:r w:rsidRPr="0040589A">
              <w:t>Measurements:</w:t>
            </w:r>
          </w:p>
        </w:tc>
        <w:tc>
          <w:tcPr>
            <w:tcW w:w="478" w:type="pct"/>
            <w:tcBorders>
              <w:top w:val="nil"/>
              <w:left w:val="nil"/>
              <w:bottom w:val="nil"/>
              <w:right w:val="nil"/>
            </w:tcBorders>
            <w:vAlign w:val="center"/>
          </w:tcPr>
          <w:p w14:paraId="6AEBC2EC" w14:textId="77777777" w:rsidR="00984F09" w:rsidRPr="0040589A" w:rsidRDefault="00984F09" w:rsidP="00403210">
            <w:pPr>
              <w:spacing w:line="480" w:lineRule="auto"/>
              <w:jc w:val="center"/>
            </w:pPr>
          </w:p>
        </w:tc>
        <w:tc>
          <w:tcPr>
            <w:tcW w:w="371" w:type="pct"/>
            <w:tcBorders>
              <w:top w:val="nil"/>
              <w:left w:val="nil"/>
              <w:bottom w:val="nil"/>
              <w:right w:val="nil"/>
            </w:tcBorders>
            <w:vAlign w:val="center"/>
          </w:tcPr>
          <w:p w14:paraId="71A1C50D" w14:textId="77777777" w:rsidR="00984F09" w:rsidRPr="0040589A" w:rsidRDefault="00984F09" w:rsidP="00403210">
            <w:pPr>
              <w:spacing w:line="480" w:lineRule="auto"/>
              <w:jc w:val="center"/>
            </w:pPr>
          </w:p>
        </w:tc>
        <w:tc>
          <w:tcPr>
            <w:tcW w:w="371" w:type="pct"/>
            <w:tcBorders>
              <w:top w:val="nil"/>
              <w:left w:val="nil"/>
              <w:bottom w:val="nil"/>
              <w:right w:val="nil"/>
            </w:tcBorders>
            <w:vAlign w:val="center"/>
          </w:tcPr>
          <w:p w14:paraId="66118486" w14:textId="77777777" w:rsidR="00984F09" w:rsidRPr="0040589A" w:rsidRDefault="00984F09" w:rsidP="00403210">
            <w:pPr>
              <w:spacing w:line="480" w:lineRule="auto"/>
              <w:jc w:val="center"/>
            </w:pPr>
          </w:p>
        </w:tc>
        <w:tc>
          <w:tcPr>
            <w:tcW w:w="246" w:type="pct"/>
            <w:tcBorders>
              <w:top w:val="nil"/>
              <w:left w:val="nil"/>
              <w:bottom w:val="nil"/>
              <w:right w:val="nil"/>
            </w:tcBorders>
            <w:vAlign w:val="center"/>
          </w:tcPr>
          <w:p w14:paraId="4915EBCF" w14:textId="77777777" w:rsidR="00984F09" w:rsidRPr="0040589A" w:rsidRDefault="00984F09" w:rsidP="00403210">
            <w:pPr>
              <w:spacing w:line="480" w:lineRule="auto"/>
              <w:jc w:val="center"/>
            </w:pPr>
          </w:p>
        </w:tc>
        <w:tc>
          <w:tcPr>
            <w:tcW w:w="495" w:type="pct"/>
            <w:tcBorders>
              <w:top w:val="nil"/>
              <w:left w:val="nil"/>
              <w:bottom w:val="nil"/>
              <w:right w:val="nil"/>
            </w:tcBorders>
            <w:vAlign w:val="center"/>
          </w:tcPr>
          <w:p w14:paraId="690449F3" w14:textId="77777777" w:rsidR="00984F09" w:rsidRPr="0040589A" w:rsidRDefault="00984F09" w:rsidP="00403210">
            <w:pPr>
              <w:spacing w:line="480" w:lineRule="auto"/>
              <w:jc w:val="center"/>
            </w:pPr>
          </w:p>
        </w:tc>
        <w:tc>
          <w:tcPr>
            <w:tcW w:w="371" w:type="pct"/>
            <w:tcBorders>
              <w:top w:val="nil"/>
              <w:left w:val="nil"/>
              <w:bottom w:val="nil"/>
              <w:right w:val="nil"/>
            </w:tcBorders>
            <w:vAlign w:val="center"/>
          </w:tcPr>
          <w:p w14:paraId="6495E2BD" w14:textId="77777777" w:rsidR="00984F09" w:rsidRPr="0040589A" w:rsidRDefault="00984F09" w:rsidP="00403210">
            <w:pPr>
              <w:spacing w:line="480" w:lineRule="auto"/>
              <w:jc w:val="center"/>
            </w:pPr>
          </w:p>
        </w:tc>
        <w:tc>
          <w:tcPr>
            <w:tcW w:w="371" w:type="pct"/>
            <w:tcBorders>
              <w:top w:val="nil"/>
              <w:left w:val="nil"/>
              <w:bottom w:val="nil"/>
              <w:right w:val="nil"/>
            </w:tcBorders>
            <w:vAlign w:val="center"/>
          </w:tcPr>
          <w:p w14:paraId="65286957" w14:textId="77777777" w:rsidR="00984F09" w:rsidRPr="0040589A" w:rsidRDefault="00984F09" w:rsidP="00403210">
            <w:pPr>
              <w:spacing w:line="480" w:lineRule="auto"/>
              <w:jc w:val="center"/>
            </w:pPr>
          </w:p>
        </w:tc>
        <w:tc>
          <w:tcPr>
            <w:tcW w:w="371" w:type="pct"/>
            <w:tcBorders>
              <w:top w:val="nil"/>
              <w:left w:val="nil"/>
              <w:bottom w:val="nil"/>
              <w:right w:val="nil"/>
            </w:tcBorders>
            <w:vAlign w:val="center"/>
          </w:tcPr>
          <w:p w14:paraId="5A5E1209" w14:textId="77777777" w:rsidR="00984F09" w:rsidRPr="0040589A" w:rsidRDefault="00984F09" w:rsidP="00403210">
            <w:pPr>
              <w:spacing w:line="480" w:lineRule="auto"/>
              <w:jc w:val="center"/>
            </w:pPr>
          </w:p>
        </w:tc>
        <w:tc>
          <w:tcPr>
            <w:tcW w:w="374" w:type="pct"/>
            <w:tcBorders>
              <w:top w:val="nil"/>
              <w:left w:val="nil"/>
              <w:bottom w:val="nil"/>
              <w:right w:val="nil"/>
            </w:tcBorders>
            <w:vAlign w:val="center"/>
          </w:tcPr>
          <w:p w14:paraId="65E6BE88" w14:textId="77777777" w:rsidR="00984F09" w:rsidRPr="0040589A" w:rsidRDefault="00984F09" w:rsidP="00403210">
            <w:pPr>
              <w:spacing w:line="480" w:lineRule="auto"/>
              <w:jc w:val="center"/>
            </w:pPr>
          </w:p>
        </w:tc>
        <w:tc>
          <w:tcPr>
            <w:tcW w:w="325" w:type="pct"/>
            <w:tcBorders>
              <w:top w:val="nil"/>
              <w:left w:val="nil"/>
              <w:bottom w:val="nil"/>
              <w:right w:val="nil"/>
            </w:tcBorders>
            <w:vAlign w:val="center"/>
          </w:tcPr>
          <w:p w14:paraId="60284A63" w14:textId="77777777" w:rsidR="00984F09" w:rsidRPr="0040589A" w:rsidRDefault="00984F09" w:rsidP="00403210">
            <w:pPr>
              <w:spacing w:line="480" w:lineRule="auto"/>
              <w:jc w:val="center"/>
            </w:pPr>
          </w:p>
        </w:tc>
      </w:tr>
      <w:tr w:rsidR="00984F09" w:rsidRPr="0040589A" w14:paraId="5AB6B277" w14:textId="77777777" w:rsidTr="00403210">
        <w:tblPrEx>
          <w:tblCellMar>
            <w:top w:w="0" w:type="dxa"/>
            <w:left w:w="0" w:type="dxa"/>
            <w:bottom w:w="0" w:type="dxa"/>
            <w:right w:w="0" w:type="dxa"/>
          </w:tblCellMar>
        </w:tblPrEx>
        <w:trPr>
          <w:trHeight w:val="402"/>
        </w:trPr>
        <w:tc>
          <w:tcPr>
            <w:tcW w:w="1227" w:type="pct"/>
            <w:tcBorders>
              <w:top w:val="nil"/>
              <w:left w:val="nil"/>
              <w:bottom w:val="nil"/>
              <w:right w:val="nil"/>
            </w:tcBorders>
            <w:vAlign w:val="center"/>
          </w:tcPr>
          <w:p w14:paraId="042AC101" w14:textId="77777777" w:rsidR="00984F09" w:rsidRPr="0040589A" w:rsidRDefault="00984F09" w:rsidP="00403210">
            <w:pPr>
              <w:spacing w:line="480" w:lineRule="auto"/>
              <w:ind w:left="360"/>
            </w:pPr>
            <w:r w:rsidRPr="0040589A">
              <w:t>Interviews</w:t>
            </w:r>
          </w:p>
        </w:tc>
        <w:tc>
          <w:tcPr>
            <w:tcW w:w="478" w:type="pct"/>
            <w:tcBorders>
              <w:top w:val="nil"/>
              <w:left w:val="nil"/>
              <w:bottom w:val="nil"/>
              <w:right w:val="nil"/>
            </w:tcBorders>
            <w:vAlign w:val="center"/>
          </w:tcPr>
          <w:p w14:paraId="773AF291" w14:textId="77777777" w:rsidR="00984F09" w:rsidRPr="0040589A" w:rsidRDefault="00984F09" w:rsidP="00403210">
            <w:pPr>
              <w:spacing w:line="480" w:lineRule="auto"/>
              <w:jc w:val="center"/>
            </w:pPr>
            <w:r w:rsidRPr="0040589A">
              <w:t>+</w:t>
            </w:r>
          </w:p>
        </w:tc>
        <w:tc>
          <w:tcPr>
            <w:tcW w:w="371" w:type="pct"/>
            <w:tcBorders>
              <w:top w:val="nil"/>
              <w:left w:val="nil"/>
              <w:bottom w:val="nil"/>
              <w:right w:val="nil"/>
            </w:tcBorders>
            <w:vAlign w:val="center"/>
          </w:tcPr>
          <w:p w14:paraId="2B788F27" w14:textId="77777777" w:rsidR="00984F09" w:rsidRPr="0040589A" w:rsidRDefault="00984F09" w:rsidP="00403210">
            <w:pPr>
              <w:spacing w:line="480" w:lineRule="auto"/>
              <w:jc w:val="center"/>
            </w:pPr>
            <w:r w:rsidRPr="0040589A">
              <w:t>+</w:t>
            </w:r>
          </w:p>
        </w:tc>
        <w:tc>
          <w:tcPr>
            <w:tcW w:w="371" w:type="pct"/>
            <w:tcBorders>
              <w:top w:val="nil"/>
              <w:left w:val="nil"/>
              <w:bottom w:val="nil"/>
              <w:right w:val="nil"/>
            </w:tcBorders>
            <w:vAlign w:val="center"/>
          </w:tcPr>
          <w:p w14:paraId="4B1882FD" w14:textId="77777777" w:rsidR="00984F09" w:rsidRPr="0040589A" w:rsidRDefault="00984F09" w:rsidP="00403210">
            <w:pPr>
              <w:spacing w:line="480" w:lineRule="auto"/>
              <w:jc w:val="center"/>
            </w:pPr>
            <w:r w:rsidRPr="0040589A">
              <w:t>+</w:t>
            </w:r>
          </w:p>
        </w:tc>
        <w:tc>
          <w:tcPr>
            <w:tcW w:w="246" w:type="pct"/>
            <w:tcBorders>
              <w:top w:val="nil"/>
              <w:left w:val="nil"/>
              <w:bottom w:val="nil"/>
              <w:right w:val="nil"/>
            </w:tcBorders>
            <w:vAlign w:val="center"/>
          </w:tcPr>
          <w:p w14:paraId="06660A1E" w14:textId="77777777" w:rsidR="00984F09" w:rsidRPr="0040589A" w:rsidRDefault="00984F09" w:rsidP="00403210">
            <w:pPr>
              <w:spacing w:line="480" w:lineRule="auto"/>
              <w:jc w:val="center"/>
            </w:pPr>
            <w:r w:rsidRPr="0040589A">
              <w:t>+</w:t>
            </w:r>
          </w:p>
        </w:tc>
        <w:tc>
          <w:tcPr>
            <w:tcW w:w="495" w:type="pct"/>
            <w:tcBorders>
              <w:top w:val="nil"/>
              <w:left w:val="nil"/>
              <w:bottom w:val="nil"/>
              <w:right w:val="nil"/>
            </w:tcBorders>
            <w:vAlign w:val="center"/>
          </w:tcPr>
          <w:p w14:paraId="139ECB16" w14:textId="77777777" w:rsidR="00984F09" w:rsidRPr="0040589A" w:rsidRDefault="00984F09" w:rsidP="00403210">
            <w:pPr>
              <w:spacing w:line="480" w:lineRule="auto"/>
              <w:jc w:val="center"/>
            </w:pPr>
            <w:r w:rsidRPr="0040589A">
              <w:t>+</w:t>
            </w:r>
          </w:p>
        </w:tc>
        <w:tc>
          <w:tcPr>
            <w:tcW w:w="371" w:type="pct"/>
            <w:tcBorders>
              <w:top w:val="nil"/>
              <w:left w:val="nil"/>
              <w:bottom w:val="nil"/>
              <w:right w:val="nil"/>
            </w:tcBorders>
            <w:vAlign w:val="center"/>
          </w:tcPr>
          <w:p w14:paraId="4DE1C895" w14:textId="77777777" w:rsidR="00984F09" w:rsidRPr="0040589A" w:rsidRDefault="00984F09" w:rsidP="00403210">
            <w:pPr>
              <w:spacing w:line="480" w:lineRule="auto"/>
              <w:jc w:val="center"/>
            </w:pPr>
            <w:r w:rsidRPr="0040589A">
              <w:t>+</w:t>
            </w:r>
          </w:p>
        </w:tc>
        <w:tc>
          <w:tcPr>
            <w:tcW w:w="371" w:type="pct"/>
            <w:tcBorders>
              <w:top w:val="nil"/>
              <w:left w:val="nil"/>
              <w:bottom w:val="nil"/>
              <w:right w:val="nil"/>
            </w:tcBorders>
            <w:vAlign w:val="center"/>
          </w:tcPr>
          <w:p w14:paraId="69D8E1CE" w14:textId="77777777" w:rsidR="00984F09" w:rsidRPr="0040589A" w:rsidRDefault="00984F09" w:rsidP="00403210">
            <w:pPr>
              <w:spacing w:line="480" w:lineRule="auto"/>
              <w:jc w:val="center"/>
            </w:pPr>
            <w:r w:rsidRPr="0040589A">
              <w:t>+</w:t>
            </w:r>
          </w:p>
        </w:tc>
        <w:tc>
          <w:tcPr>
            <w:tcW w:w="371" w:type="pct"/>
            <w:tcBorders>
              <w:top w:val="nil"/>
              <w:left w:val="nil"/>
              <w:bottom w:val="nil"/>
              <w:right w:val="nil"/>
            </w:tcBorders>
            <w:vAlign w:val="center"/>
          </w:tcPr>
          <w:p w14:paraId="405B8855" w14:textId="77777777" w:rsidR="00984F09" w:rsidRPr="0040589A" w:rsidRDefault="00984F09" w:rsidP="00403210">
            <w:pPr>
              <w:spacing w:line="480" w:lineRule="auto"/>
              <w:jc w:val="center"/>
            </w:pPr>
            <w:r w:rsidRPr="0040589A">
              <w:t>+</w:t>
            </w:r>
          </w:p>
        </w:tc>
        <w:tc>
          <w:tcPr>
            <w:tcW w:w="374" w:type="pct"/>
            <w:tcBorders>
              <w:top w:val="nil"/>
              <w:left w:val="nil"/>
              <w:bottom w:val="nil"/>
              <w:right w:val="nil"/>
            </w:tcBorders>
            <w:vAlign w:val="center"/>
          </w:tcPr>
          <w:p w14:paraId="1289FF52" w14:textId="77777777" w:rsidR="00984F09" w:rsidRPr="0040589A" w:rsidRDefault="00984F09" w:rsidP="00403210">
            <w:pPr>
              <w:spacing w:line="480" w:lineRule="auto"/>
              <w:jc w:val="center"/>
            </w:pPr>
            <w:r w:rsidRPr="0040589A">
              <w:t>+</w:t>
            </w:r>
          </w:p>
        </w:tc>
        <w:tc>
          <w:tcPr>
            <w:tcW w:w="325" w:type="pct"/>
            <w:tcBorders>
              <w:top w:val="nil"/>
              <w:left w:val="nil"/>
              <w:bottom w:val="nil"/>
              <w:right w:val="nil"/>
            </w:tcBorders>
            <w:vAlign w:val="center"/>
          </w:tcPr>
          <w:p w14:paraId="5314A97B" w14:textId="77777777" w:rsidR="00984F09" w:rsidRPr="0040589A" w:rsidRDefault="00984F09" w:rsidP="00403210">
            <w:pPr>
              <w:spacing w:line="480" w:lineRule="auto"/>
              <w:jc w:val="center"/>
            </w:pPr>
            <w:r w:rsidRPr="0040589A">
              <w:t>+</w:t>
            </w:r>
          </w:p>
        </w:tc>
      </w:tr>
      <w:tr w:rsidR="00984F09" w:rsidRPr="0040589A" w14:paraId="7EC893CB" w14:textId="77777777" w:rsidTr="00403210">
        <w:tblPrEx>
          <w:tblCellMar>
            <w:top w:w="0" w:type="dxa"/>
            <w:left w:w="0" w:type="dxa"/>
            <w:bottom w:w="0" w:type="dxa"/>
            <w:right w:w="0" w:type="dxa"/>
          </w:tblCellMar>
        </w:tblPrEx>
        <w:trPr>
          <w:trHeight w:val="402"/>
        </w:trPr>
        <w:tc>
          <w:tcPr>
            <w:tcW w:w="1227" w:type="pct"/>
            <w:tcBorders>
              <w:top w:val="nil"/>
              <w:left w:val="nil"/>
              <w:bottom w:val="nil"/>
              <w:right w:val="nil"/>
            </w:tcBorders>
            <w:vAlign w:val="center"/>
          </w:tcPr>
          <w:p w14:paraId="2DE976D1" w14:textId="77777777" w:rsidR="00984F09" w:rsidRPr="0040589A" w:rsidRDefault="00984F09" w:rsidP="00403210">
            <w:pPr>
              <w:spacing w:line="480" w:lineRule="auto"/>
              <w:ind w:left="360"/>
            </w:pPr>
            <w:r w:rsidRPr="0040589A">
              <w:t>Mailed Survey</w:t>
            </w:r>
          </w:p>
        </w:tc>
        <w:tc>
          <w:tcPr>
            <w:tcW w:w="478" w:type="pct"/>
            <w:tcBorders>
              <w:top w:val="nil"/>
              <w:left w:val="nil"/>
              <w:bottom w:val="nil"/>
              <w:right w:val="nil"/>
            </w:tcBorders>
            <w:vAlign w:val="center"/>
          </w:tcPr>
          <w:p w14:paraId="708005DE" w14:textId="77777777" w:rsidR="00984F09" w:rsidRPr="0040589A" w:rsidRDefault="00984F09" w:rsidP="00403210">
            <w:pPr>
              <w:spacing w:line="480" w:lineRule="auto"/>
              <w:jc w:val="center"/>
            </w:pPr>
            <w:r w:rsidRPr="0040589A">
              <w:t>n</w:t>
            </w:r>
          </w:p>
        </w:tc>
        <w:tc>
          <w:tcPr>
            <w:tcW w:w="371" w:type="pct"/>
            <w:tcBorders>
              <w:top w:val="nil"/>
              <w:left w:val="nil"/>
              <w:bottom w:val="nil"/>
              <w:right w:val="nil"/>
            </w:tcBorders>
            <w:vAlign w:val="center"/>
          </w:tcPr>
          <w:p w14:paraId="7A6DFC99" w14:textId="77777777" w:rsidR="00984F09" w:rsidRPr="0040589A" w:rsidRDefault="00984F09" w:rsidP="00403210">
            <w:pPr>
              <w:spacing w:line="480" w:lineRule="auto"/>
              <w:jc w:val="center"/>
            </w:pPr>
            <w:r w:rsidRPr="0040589A">
              <w:t>n</w:t>
            </w:r>
          </w:p>
        </w:tc>
        <w:tc>
          <w:tcPr>
            <w:tcW w:w="371" w:type="pct"/>
            <w:tcBorders>
              <w:top w:val="nil"/>
              <w:left w:val="nil"/>
              <w:bottom w:val="nil"/>
              <w:right w:val="nil"/>
            </w:tcBorders>
            <w:vAlign w:val="center"/>
          </w:tcPr>
          <w:p w14:paraId="68806999" w14:textId="77777777" w:rsidR="00984F09" w:rsidRPr="0040589A" w:rsidRDefault="00984F09" w:rsidP="00403210">
            <w:pPr>
              <w:spacing w:line="480" w:lineRule="auto"/>
              <w:jc w:val="center"/>
            </w:pPr>
            <w:r w:rsidRPr="0040589A">
              <w:t>n</w:t>
            </w:r>
          </w:p>
        </w:tc>
        <w:tc>
          <w:tcPr>
            <w:tcW w:w="246" w:type="pct"/>
            <w:tcBorders>
              <w:top w:val="nil"/>
              <w:left w:val="nil"/>
              <w:bottom w:val="nil"/>
              <w:right w:val="nil"/>
            </w:tcBorders>
            <w:vAlign w:val="center"/>
          </w:tcPr>
          <w:p w14:paraId="216001B4" w14:textId="77777777" w:rsidR="00984F09" w:rsidRPr="0040589A" w:rsidRDefault="00984F09" w:rsidP="00403210">
            <w:pPr>
              <w:spacing w:line="480" w:lineRule="auto"/>
              <w:jc w:val="center"/>
            </w:pPr>
            <w:r w:rsidRPr="0040589A">
              <w:t>n</w:t>
            </w:r>
          </w:p>
        </w:tc>
        <w:tc>
          <w:tcPr>
            <w:tcW w:w="495" w:type="pct"/>
            <w:tcBorders>
              <w:top w:val="nil"/>
              <w:left w:val="nil"/>
              <w:bottom w:val="nil"/>
              <w:right w:val="nil"/>
            </w:tcBorders>
            <w:vAlign w:val="center"/>
          </w:tcPr>
          <w:p w14:paraId="7B2E182D" w14:textId="77777777" w:rsidR="00984F09" w:rsidRPr="0040589A" w:rsidRDefault="00984F09" w:rsidP="00403210">
            <w:pPr>
              <w:spacing w:line="480" w:lineRule="auto"/>
              <w:jc w:val="center"/>
            </w:pPr>
            <w:r w:rsidRPr="0040589A">
              <w:t>n</w:t>
            </w:r>
          </w:p>
        </w:tc>
        <w:tc>
          <w:tcPr>
            <w:tcW w:w="371" w:type="pct"/>
            <w:tcBorders>
              <w:top w:val="nil"/>
              <w:left w:val="nil"/>
              <w:bottom w:val="nil"/>
              <w:right w:val="nil"/>
            </w:tcBorders>
            <w:vAlign w:val="center"/>
          </w:tcPr>
          <w:p w14:paraId="3262629F" w14:textId="77777777" w:rsidR="00984F09" w:rsidRPr="0040589A" w:rsidRDefault="00984F09" w:rsidP="00403210">
            <w:pPr>
              <w:spacing w:line="480" w:lineRule="auto"/>
              <w:jc w:val="center"/>
            </w:pPr>
            <w:r w:rsidRPr="0040589A">
              <w:t>n</w:t>
            </w:r>
          </w:p>
        </w:tc>
        <w:tc>
          <w:tcPr>
            <w:tcW w:w="371" w:type="pct"/>
            <w:tcBorders>
              <w:top w:val="nil"/>
              <w:left w:val="nil"/>
              <w:bottom w:val="nil"/>
              <w:right w:val="nil"/>
            </w:tcBorders>
            <w:vAlign w:val="center"/>
          </w:tcPr>
          <w:p w14:paraId="036E3360" w14:textId="77777777" w:rsidR="00984F09" w:rsidRPr="0040589A" w:rsidRDefault="00984F09" w:rsidP="00403210">
            <w:pPr>
              <w:spacing w:line="480" w:lineRule="auto"/>
              <w:jc w:val="center"/>
            </w:pPr>
            <w:r w:rsidRPr="0040589A">
              <w:t>n</w:t>
            </w:r>
          </w:p>
        </w:tc>
        <w:tc>
          <w:tcPr>
            <w:tcW w:w="371" w:type="pct"/>
            <w:tcBorders>
              <w:top w:val="nil"/>
              <w:left w:val="nil"/>
              <w:bottom w:val="nil"/>
              <w:right w:val="nil"/>
            </w:tcBorders>
            <w:vAlign w:val="center"/>
          </w:tcPr>
          <w:p w14:paraId="35B59389" w14:textId="77777777" w:rsidR="00984F09" w:rsidRPr="0040589A" w:rsidRDefault="00984F09" w:rsidP="00403210">
            <w:pPr>
              <w:spacing w:line="480" w:lineRule="auto"/>
              <w:jc w:val="center"/>
            </w:pPr>
            <w:r w:rsidRPr="0040589A">
              <w:t>n</w:t>
            </w:r>
          </w:p>
        </w:tc>
        <w:tc>
          <w:tcPr>
            <w:tcW w:w="374" w:type="pct"/>
            <w:tcBorders>
              <w:top w:val="nil"/>
              <w:left w:val="nil"/>
              <w:bottom w:val="nil"/>
              <w:right w:val="nil"/>
            </w:tcBorders>
            <w:vAlign w:val="center"/>
          </w:tcPr>
          <w:p w14:paraId="11E9C850" w14:textId="77777777" w:rsidR="00984F09" w:rsidRPr="0040589A" w:rsidRDefault="00984F09" w:rsidP="00403210">
            <w:pPr>
              <w:spacing w:line="480" w:lineRule="auto"/>
              <w:jc w:val="center"/>
            </w:pPr>
            <w:r w:rsidRPr="0040589A">
              <w:t>+</w:t>
            </w:r>
          </w:p>
        </w:tc>
        <w:tc>
          <w:tcPr>
            <w:tcW w:w="325" w:type="pct"/>
            <w:tcBorders>
              <w:top w:val="nil"/>
              <w:left w:val="nil"/>
              <w:bottom w:val="nil"/>
              <w:right w:val="nil"/>
            </w:tcBorders>
            <w:vAlign w:val="center"/>
          </w:tcPr>
          <w:p w14:paraId="50B65ADC" w14:textId="77777777" w:rsidR="00984F09" w:rsidRPr="0040589A" w:rsidRDefault="00984F09" w:rsidP="00403210">
            <w:pPr>
              <w:spacing w:line="480" w:lineRule="auto"/>
              <w:jc w:val="center"/>
            </w:pPr>
            <w:r w:rsidRPr="0040589A">
              <w:t>+</w:t>
            </w:r>
          </w:p>
        </w:tc>
      </w:tr>
      <w:tr w:rsidR="00984F09" w:rsidRPr="0040589A" w14:paraId="6605FFB5" w14:textId="77777777" w:rsidTr="00403210">
        <w:tblPrEx>
          <w:tblCellMar>
            <w:top w:w="0" w:type="dxa"/>
            <w:left w:w="0" w:type="dxa"/>
            <w:bottom w:w="0" w:type="dxa"/>
            <w:right w:w="0" w:type="dxa"/>
          </w:tblCellMar>
        </w:tblPrEx>
        <w:trPr>
          <w:trHeight w:val="402"/>
        </w:trPr>
        <w:tc>
          <w:tcPr>
            <w:tcW w:w="1227" w:type="pct"/>
            <w:tcBorders>
              <w:top w:val="nil"/>
              <w:left w:val="nil"/>
              <w:bottom w:val="nil"/>
              <w:right w:val="nil"/>
            </w:tcBorders>
            <w:vAlign w:val="center"/>
          </w:tcPr>
          <w:p w14:paraId="6FDAC5D5" w14:textId="77777777" w:rsidR="00984F09" w:rsidRPr="0040589A" w:rsidRDefault="00984F09" w:rsidP="00403210">
            <w:pPr>
              <w:spacing w:line="480" w:lineRule="auto"/>
              <w:ind w:left="360"/>
            </w:pPr>
            <w:r w:rsidRPr="0040589A">
              <w:t>Media Booth</w:t>
            </w:r>
          </w:p>
        </w:tc>
        <w:tc>
          <w:tcPr>
            <w:tcW w:w="478" w:type="pct"/>
            <w:tcBorders>
              <w:top w:val="nil"/>
              <w:left w:val="nil"/>
              <w:bottom w:val="nil"/>
              <w:right w:val="nil"/>
            </w:tcBorders>
            <w:vAlign w:val="center"/>
          </w:tcPr>
          <w:p w14:paraId="36E47C95" w14:textId="77777777" w:rsidR="00984F09" w:rsidRPr="0040589A" w:rsidRDefault="00984F09" w:rsidP="00403210">
            <w:pPr>
              <w:spacing w:line="480" w:lineRule="auto"/>
              <w:jc w:val="center"/>
            </w:pPr>
            <w:r w:rsidRPr="0040589A">
              <w:t>+</w:t>
            </w:r>
          </w:p>
        </w:tc>
        <w:tc>
          <w:tcPr>
            <w:tcW w:w="371" w:type="pct"/>
            <w:tcBorders>
              <w:top w:val="nil"/>
              <w:left w:val="nil"/>
              <w:bottom w:val="nil"/>
              <w:right w:val="nil"/>
            </w:tcBorders>
            <w:vAlign w:val="center"/>
          </w:tcPr>
          <w:p w14:paraId="768C31DF" w14:textId="77777777" w:rsidR="00984F09" w:rsidRPr="0040589A" w:rsidRDefault="00984F09" w:rsidP="00403210">
            <w:pPr>
              <w:spacing w:line="480" w:lineRule="auto"/>
              <w:jc w:val="center"/>
            </w:pPr>
            <w:r w:rsidRPr="0040589A">
              <w:t>+</w:t>
            </w:r>
          </w:p>
        </w:tc>
        <w:tc>
          <w:tcPr>
            <w:tcW w:w="371" w:type="pct"/>
            <w:tcBorders>
              <w:top w:val="nil"/>
              <w:left w:val="nil"/>
              <w:bottom w:val="nil"/>
              <w:right w:val="nil"/>
            </w:tcBorders>
            <w:vAlign w:val="center"/>
          </w:tcPr>
          <w:p w14:paraId="7B623EBB" w14:textId="77777777" w:rsidR="00984F09" w:rsidRPr="0040589A" w:rsidRDefault="00984F09" w:rsidP="00403210">
            <w:pPr>
              <w:spacing w:line="480" w:lineRule="auto"/>
              <w:jc w:val="center"/>
            </w:pPr>
            <w:r w:rsidRPr="0040589A">
              <w:t>+</w:t>
            </w:r>
          </w:p>
        </w:tc>
        <w:tc>
          <w:tcPr>
            <w:tcW w:w="246" w:type="pct"/>
            <w:tcBorders>
              <w:top w:val="nil"/>
              <w:left w:val="nil"/>
              <w:bottom w:val="nil"/>
              <w:right w:val="nil"/>
            </w:tcBorders>
            <w:vAlign w:val="center"/>
          </w:tcPr>
          <w:p w14:paraId="030D7C8E" w14:textId="77777777" w:rsidR="00984F09" w:rsidRPr="0040589A" w:rsidRDefault="00984F09" w:rsidP="00403210">
            <w:pPr>
              <w:spacing w:line="480" w:lineRule="auto"/>
              <w:jc w:val="center"/>
            </w:pPr>
            <w:r w:rsidRPr="0040589A">
              <w:t>+</w:t>
            </w:r>
          </w:p>
        </w:tc>
        <w:tc>
          <w:tcPr>
            <w:tcW w:w="495" w:type="pct"/>
            <w:tcBorders>
              <w:top w:val="nil"/>
              <w:left w:val="nil"/>
              <w:bottom w:val="nil"/>
              <w:right w:val="nil"/>
            </w:tcBorders>
            <w:vAlign w:val="center"/>
          </w:tcPr>
          <w:p w14:paraId="3770075D" w14:textId="77777777" w:rsidR="00984F09" w:rsidRPr="0040589A" w:rsidRDefault="00984F09" w:rsidP="00403210">
            <w:pPr>
              <w:spacing w:line="480" w:lineRule="auto"/>
              <w:jc w:val="center"/>
            </w:pPr>
            <w:r w:rsidRPr="0040589A">
              <w:t>+</w:t>
            </w:r>
          </w:p>
        </w:tc>
        <w:tc>
          <w:tcPr>
            <w:tcW w:w="371" w:type="pct"/>
            <w:tcBorders>
              <w:top w:val="nil"/>
              <w:left w:val="nil"/>
              <w:bottom w:val="nil"/>
              <w:right w:val="nil"/>
            </w:tcBorders>
            <w:vAlign w:val="center"/>
          </w:tcPr>
          <w:p w14:paraId="5FD741F8" w14:textId="77777777" w:rsidR="00984F09" w:rsidRPr="0040589A" w:rsidRDefault="00984F09" w:rsidP="00403210">
            <w:pPr>
              <w:spacing w:line="480" w:lineRule="auto"/>
              <w:jc w:val="center"/>
            </w:pPr>
            <w:r w:rsidRPr="0040589A">
              <w:t>+</w:t>
            </w:r>
          </w:p>
        </w:tc>
        <w:tc>
          <w:tcPr>
            <w:tcW w:w="371" w:type="pct"/>
            <w:tcBorders>
              <w:top w:val="nil"/>
              <w:left w:val="nil"/>
              <w:bottom w:val="nil"/>
              <w:right w:val="nil"/>
            </w:tcBorders>
            <w:vAlign w:val="center"/>
          </w:tcPr>
          <w:p w14:paraId="600AA700" w14:textId="77777777" w:rsidR="00984F09" w:rsidRPr="0040589A" w:rsidRDefault="00984F09" w:rsidP="00403210">
            <w:pPr>
              <w:spacing w:line="480" w:lineRule="auto"/>
              <w:jc w:val="center"/>
            </w:pPr>
            <w:r w:rsidRPr="0040589A">
              <w:t>+</w:t>
            </w:r>
          </w:p>
        </w:tc>
        <w:tc>
          <w:tcPr>
            <w:tcW w:w="371" w:type="pct"/>
            <w:tcBorders>
              <w:top w:val="nil"/>
              <w:left w:val="nil"/>
              <w:bottom w:val="nil"/>
              <w:right w:val="nil"/>
            </w:tcBorders>
            <w:vAlign w:val="center"/>
          </w:tcPr>
          <w:p w14:paraId="13B59806" w14:textId="77777777" w:rsidR="00984F09" w:rsidRPr="0040589A" w:rsidRDefault="00984F09" w:rsidP="00403210">
            <w:pPr>
              <w:spacing w:line="480" w:lineRule="auto"/>
              <w:jc w:val="center"/>
            </w:pPr>
            <w:r w:rsidRPr="0040589A">
              <w:t>+</w:t>
            </w:r>
          </w:p>
        </w:tc>
        <w:tc>
          <w:tcPr>
            <w:tcW w:w="374" w:type="pct"/>
            <w:tcBorders>
              <w:top w:val="nil"/>
              <w:left w:val="nil"/>
              <w:bottom w:val="nil"/>
              <w:right w:val="nil"/>
            </w:tcBorders>
            <w:vAlign w:val="center"/>
          </w:tcPr>
          <w:p w14:paraId="3895DCAC" w14:textId="77777777" w:rsidR="00984F09" w:rsidRPr="0040589A" w:rsidRDefault="00984F09" w:rsidP="00403210">
            <w:pPr>
              <w:spacing w:line="480" w:lineRule="auto"/>
              <w:jc w:val="center"/>
            </w:pPr>
            <w:r w:rsidRPr="0040589A">
              <w:t>n</w:t>
            </w:r>
          </w:p>
        </w:tc>
        <w:tc>
          <w:tcPr>
            <w:tcW w:w="325" w:type="pct"/>
            <w:tcBorders>
              <w:top w:val="nil"/>
              <w:left w:val="nil"/>
              <w:bottom w:val="nil"/>
              <w:right w:val="nil"/>
            </w:tcBorders>
            <w:vAlign w:val="center"/>
          </w:tcPr>
          <w:p w14:paraId="683F78B1" w14:textId="77777777" w:rsidR="00984F09" w:rsidRPr="0040589A" w:rsidRDefault="00984F09" w:rsidP="00403210">
            <w:pPr>
              <w:spacing w:line="480" w:lineRule="auto"/>
              <w:jc w:val="center"/>
            </w:pPr>
            <w:r w:rsidRPr="0040589A">
              <w:t>n</w:t>
            </w:r>
          </w:p>
        </w:tc>
      </w:tr>
      <w:tr w:rsidR="00984F09" w:rsidRPr="0040589A" w14:paraId="00EED8C9" w14:textId="77777777" w:rsidTr="00403210">
        <w:tblPrEx>
          <w:tblCellMar>
            <w:top w:w="0" w:type="dxa"/>
            <w:left w:w="0" w:type="dxa"/>
            <w:bottom w:w="0" w:type="dxa"/>
            <w:right w:w="0" w:type="dxa"/>
          </w:tblCellMar>
        </w:tblPrEx>
        <w:trPr>
          <w:trHeight w:val="402"/>
        </w:trPr>
        <w:tc>
          <w:tcPr>
            <w:tcW w:w="5000" w:type="pct"/>
            <w:gridSpan w:val="11"/>
            <w:tcBorders>
              <w:top w:val="nil"/>
              <w:left w:val="nil"/>
              <w:bottom w:val="nil"/>
              <w:right w:val="nil"/>
            </w:tcBorders>
            <w:vAlign w:val="center"/>
          </w:tcPr>
          <w:p w14:paraId="0F2FA1B1" w14:textId="77777777" w:rsidR="00984F09" w:rsidRPr="0040589A" w:rsidRDefault="00984F09" w:rsidP="00403210">
            <w:pPr>
              <w:spacing w:line="480" w:lineRule="auto"/>
              <w:jc w:val="both"/>
            </w:pPr>
            <w:r w:rsidRPr="0040589A">
              <w:t>*Includes posters, newspaper advertisements, window displays, and radio appearance.</w:t>
            </w:r>
          </w:p>
          <w:p w14:paraId="315ABC19" w14:textId="77777777" w:rsidR="00984F09" w:rsidRPr="0040589A" w:rsidRDefault="00984F09" w:rsidP="00403210">
            <w:pPr>
              <w:spacing w:line="480" w:lineRule="auto"/>
              <w:jc w:val="both"/>
            </w:pPr>
            <w:r w:rsidRPr="0040589A">
              <w:t>Note: “O” indicates that media related to the theme were not available and “X” indicates that media were available, “+” indicates measurements were taken and an “n” indicates that measurements were not taken. All measurements were relevant to both campaign themes.</w:t>
            </w:r>
          </w:p>
        </w:tc>
      </w:tr>
    </w:tbl>
    <w:p w14:paraId="65FF585B" w14:textId="77777777" w:rsidR="00984F09" w:rsidRPr="0040589A" w:rsidRDefault="00984F09" w:rsidP="00984F09">
      <w:pPr>
        <w:spacing w:line="480" w:lineRule="auto"/>
        <w:jc w:val="both"/>
      </w:pPr>
    </w:p>
    <w:p w14:paraId="0FED83E3" w14:textId="77777777" w:rsidR="00984F09" w:rsidRPr="0040589A" w:rsidRDefault="00984F09" w:rsidP="001E11A1">
      <w:pPr>
        <w:spacing w:line="480" w:lineRule="auto"/>
        <w:jc w:val="both"/>
      </w:pPr>
      <w:r w:rsidRPr="0040589A">
        <w:t xml:space="preserve">The use of baseline periods is frequently used in some forms of psychotherapy in order to show that the treatment had an effect. If the present program had an effect, one would expect students to be more aware of the themes of the campaign after the posters, ads, display, and radio show were in place compared to the weeks before. The use of two interventions permitted a replication of the design. That is, if any apparent effects of the first theme of the program were detected by comparing the first period with the second, the pattern could be verified by comparing the first six weeks of the program with the fourth period (weeks 7 and 8) using student reactions to the second theme. If the patterns were very similar, one could conclude confidently that the AEP media campaign was responsible for student awareness of </w:t>
      </w:r>
      <w:r w:rsidRPr="0040589A">
        <w:lastRenderedPageBreak/>
        <w:t>the themes. Possible alternative interpretations based on national news reports or alcohol industry ads could be rejected as implausible.</w:t>
      </w:r>
    </w:p>
    <w:p w14:paraId="25E95ED4" w14:textId="77777777" w:rsidR="00984F09" w:rsidRDefault="00984F09" w:rsidP="00984F09">
      <w:pPr>
        <w:spacing w:line="480" w:lineRule="auto"/>
        <w:jc w:val="both"/>
        <w:rPr>
          <w:b/>
          <w:bCs/>
        </w:rPr>
      </w:pPr>
    </w:p>
    <w:p w14:paraId="04E7A9CF" w14:textId="77777777" w:rsidR="00984F09" w:rsidRPr="00602170" w:rsidRDefault="00984F09" w:rsidP="00984F09">
      <w:pPr>
        <w:spacing w:line="480" w:lineRule="auto"/>
        <w:jc w:val="both"/>
        <w:rPr>
          <w:b/>
          <w:bCs/>
          <w:smallCaps/>
        </w:rPr>
      </w:pPr>
      <w:r w:rsidRPr="00602170">
        <w:rPr>
          <w:b/>
          <w:bCs/>
          <w:smallCaps/>
        </w:rPr>
        <w:t>Evaluation Findings</w:t>
      </w:r>
    </w:p>
    <w:p w14:paraId="466A25EB" w14:textId="77777777" w:rsidR="00984F09" w:rsidRDefault="00984F09" w:rsidP="00984F09">
      <w:pPr>
        <w:spacing w:line="480" w:lineRule="auto"/>
        <w:jc w:val="both"/>
      </w:pPr>
    </w:p>
    <w:p w14:paraId="713D794A" w14:textId="77777777" w:rsidR="00984F09" w:rsidRPr="0040589A" w:rsidRDefault="00984F09" w:rsidP="00984F09">
      <w:pPr>
        <w:spacing w:line="480" w:lineRule="auto"/>
        <w:jc w:val="both"/>
      </w:pPr>
      <w:r w:rsidRPr="0040589A">
        <w:t>Interviews</w:t>
      </w:r>
    </w:p>
    <w:p w14:paraId="5E6312AD" w14:textId="77777777" w:rsidR="00984F09" w:rsidRDefault="00984F09" w:rsidP="00984F09">
      <w:pPr>
        <w:spacing w:line="480" w:lineRule="auto"/>
        <w:jc w:val="both"/>
      </w:pPr>
    </w:p>
    <w:p w14:paraId="19D06E5C" w14:textId="77777777" w:rsidR="00984F09" w:rsidRPr="0040589A" w:rsidRDefault="00984F09" w:rsidP="00984F09">
      <w:pPr>
        <w:spacing w:line="480" w:lineRule="auto"/>
        <w:jc w:val="both"/>
      </w:pPr>
      <w:r w:rsidRPr="0040589A">
        <w:t>Of the 371 students interviewed over the 10 weeks, 60 percent were male and 40 percent were female, approximating the composition of the student body. No student was interviewed more than once. During each of the 10 weeks, approximately 40 students were selected at random during the lunch hour from students at the library, a student union cafeteria, and a busy outdoor walkway. AEP staff members interviewed students concerning the recall of the poster and the newspaper ad. Respondents were shown a facsimile of the newspaper ad/poster for both campaign themes and were asked if they had seen them in the university newspaper or as a poster.</w:t>
      </w:r>
    </w:p>
    <w:p w14:paraId="6C268E65" w14:textId="77777777" w:rsidR="00984F09" w:rsidRPr="0040589A" w:rsidRDefault="00984F09" w:rsidP="00984F09">
      <w:pPr>
        <w:spacing w:line="480" w:lineRule="auto"/>
        <w:ind w:firstLine="360"/>
        <w:jc w:val="both"/>
      </w:pPr>
      <w:r w:rsidRPr="0040589A">
        <w:t>Figure 1 includes the percentages of students reporting that they recalled seeing the poster and the newspaper ad for each of the 10 weeks of the campaign. The upper panel of the figure shows the pronounced jump in awareness for Theme 1 in week 3. Note that the lower panel shows that Theme 2 was not recognized by as many students during weeks 3 and 4 as was the first theme. Since only the first theme was being publicized, these patterns support the interpretation that the campaign was effective in attracting student attention. The difference in the students’ reactions to the two themes shows that students</w:t>
      </w:r>
      <w:r>
        <w:t xml:space="preserve"> </w:t>
      </w:r>
      <w:r w:rsidRPr="0040589A">
        <w:t>were not simply saying that they saw the posters/ad because they thought that is what the interviewers wanted them to say.</w:t>
      </w:r>
    </w:p>
    <w:p w14:paraId="1E31A3C4" w14:textId="77777777" w:rsidR="00984F09" w:rsidRDefault="00984F09" w:rsidP="00984F09">
      <w:pPr>
        <w:spacing w:line="480" w:lineRule="auto"/>
        <w:jc w:val="both"/>
        <w:rPr>
          <w:b/>
          <w:bCs/>
        </w:rPr>
      </w:pPr>
    </w:p>
    <w:p w14:paraId="71645F68" w14:textId="77777777" w:rsidR="001E11A1" w:rsidRPr="00452CD7" w:rsidRDefault="001E11A1" w:rsidP="001E11A1">
      <w:pPr>
        <w:spacing w:line="480" w:lineRule="auto"/>
        <w:jc w:val="center"/>
        <w:rPr>
          <w:b/>
          <w:bCs/>
        </w:rPr>
      </w:pPr>
      <w:r>
        <w:rPr>
          <w:b/>
          <w:bCs/>
        </w:rPr>
        <w:lastRenderedPageBreak/>
        <w:t>FIGURE 1</w:t>
      </w:r>
    </w:p>
    <w:p w14:paraId="32AD0461" w14:textId="38F21054" w:rsidR="001E11A1" w:rsidRDefault="00DC759D" w:rsidP="001E11A1">
      <w:pPr>
        <w:tabs>
          <w:tab w:val="left" w:pos="1620"/>
        </w:tabs>
        <w:spacing w:line="480" w:lineRule="auto"/>
        <w:jc w:val="center"/>
      </w:pPr>
      <w:r>
        <w:rPr>
          <w:noProof/>
        </w:rPr>
        <w:drawing>
          <wp:inline distT="0" distB="0" distL="0" distR="0" wp14:anchorId="2087E6CE" wp14:editId="23A62BFB">
            <wp:extent cx="5067300" cy="476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7300" cy="4762500"/>
                    </a:xfrm>
                    <a:prstGeom prst="rect">
                      <a:avLst/>
                    </a:prstGeom>
                    <a:noFill/>
                    <a:ln>
                      <a:noFill/>
                    </a:ln>
                  </pic:spPr>
                </pic:pic>
              </a:graphicData>
            </a:graphic>
          </wp:inline>
        </w:drawing>
      </w:r>
    </w:p>
    <w:p w14:paraId="328DD0C9" w14:textId="77777777" w:rsidR="00984F09" w:rsidRPr="0040589A" w:rsidRDefault="00984F09" w:rsidP="001E11A1">
      <w:pPr>
        <w:jc w:val="both"/>
      </w:pPr>
      <w:r w:rsidRPr="0040589A">
        <w:t>Record of percentage of students interviewed reporting recall of</w:t>
      </w:r>
      <w:r>
        <w:t xml:space="preserve"> </w:t>
      </w:r>
      <w:r w:rsidRPr="0040589A">
        <w:t>poster and newspaper ad containing media campaign themes. Baseline—period before theme’s posters or ads were introduced. Campaign—two-week period in which posters and ads for particular theme were displayed about campus and published in campus newspaper. Post-theme baseline—period following campaign, ads for theme were not published and posters for them were taken down.</w:t>
      </w:r>
    </w:p>
    <w:p w14:paraId="058F76CE" w14:textId="77777777" w:rsidR="00984F09" w:rsidRDefault="00984F09" w:rsidP="00984F09">
      <w:pPr>
        <w:spacing w:line="480" w:lineRule="auto"/>
        <w:ind w:firstLine="360"/>
        <w:jc w:val="both"/>
      </w:pPr>
    </w:p>
    <w:p w14:paraId="6BCD70C2" w14:textId="77777777" w:rsidR="00984F09" w:rsidRPr="0040589A" w:rsidRDefault="00984F09" w:rsidP="00984F09">
      <w:pPr>
        <w:spacing w:line="480" w:lineRule="auto"/>
        <w:ind w:firstLine="360"/>
        <w:jc w:val="both"/>
      </w:pPr>
      <w:r w:rsidRPr="0040589A">
        <w:t>In week 7 the materials for Theme 2 appeared. As expected, awareness of having seen Theme 2 material increased abruptly. Recall of Theme 1 material did not drop to the baseline level since students could remember having seen Theme 1 material earlier. This replication gave credibility to the interpretation that the multimedia campaign was responsible for student awareness of the program’s themes.</w:t>
      </w:r>
    </w:p>
    <w:p w14:paraId="436BBDF5" w14:textId="77777777" w:rsidR="00984F09" w:rsidRDefault="00984F09" w:rsidP="00984F09">
      <w:pPr>
        <w:spacing w:line="480" w:lineRule="auto"/>
        <w:jc w:val="both"/>
      </w:pPr>
    </w:p>
    <w:p w14:paraId="17634708" w14:textId="77777777" w:rsidR="00984F09" w:rsidRPr="00602170" w:rsidRDefault="001E11A1" w:rsidP="00984F09">
      <w:pPr>
        <w:spacing w:line="480" w:lineRule="auto"/>
        <w:jc w:val="both"/>
        <w:rPr>
          <w:b/>
          <w:bCs/>
        </w:rPr>
      </w:pPr>
      <w:r>
        <w:rPr>
          <w:b/>
          <w:bCs/>
        </w:rPr>
        <w:br w:type="page"/>
      </w:r>
      <w:r w:rsidR="00984F09" w:rsidRPr="00602170">
        <w:rPr>
          <w:b/>
          <w:bCs/>
        </w:rPr>
        <w:lastRenderedPageBreak/>
        <w:t>Mailed Survey</w:t>
      </w:r>
    </w:p>
    <w:p w14:paraId="56A8CE61" w14:textId="77777777" w:rsidR="00984F09" w:rsidRDefault="00984F09" w:rsidP="00984F09">
      <w:pPr>
        <w:spacing w:line="480" w:lineRule="auto"/>
        <w:jc w:val="both"/>
      </w:pPr>
    </w:p>
    <w:p w14:paraId="25023C3A" w14:textId="77777777" w:rsidR="00984F09" w:rsidRPr="0040589A" w:rsidRDefault="00984F09" w:rsidP="00984F09">
      <w:pPr>
        <w:spacing w:line="480" w:lineRule="auto"/>
        <w:jc w:val="both"/>
      </w:pPr>
      <w:r w:rsidRPr="0040589A">
        <w:t>During the final two-week period, a 12-page survey on alcohol use was mailed to a random sample of 1,113 students. Usable questionnaires were received from 56.7 percent of this sample. Answers to demographic questions indicated that the respondents accurately reflected the characteristics of the student body.</w:t>
      </w:r>
    </w:p>
    <w:p w14:paraId="61CD4081" w14:textId="77777777" w:rsidR="00984F09" w:rsidRPr="0040589A" w:rsidRDefault="00984F09" w:rsidP="00984F09">
      <w:pPr>
        <w:spacing w:line="480" w:lineRule="auto"/>
        <w:ind w:firstLine="360"/>
        <w:jc w:val="both"/>
      </w:pPr>
      <w:r w:rsidRPr="0040589A">
        <w:t>In addition to questions about alcohol consumption, students were asked which of the seven AEP posters, two from the campaign themes and five not used in this campaign, they had seen. All posters were identified only by their textual content and had been available from AEP prior to this fall semester effort beginning in March 2008. The percentage of respondents who recalled having seen each of the posters “more than once” was the measure of program effectiveness. Theme 1 was recalled by 62 percent of the respondents and Theme 2 by 83 percent. By contrast, the other five AEP (noncampaign) posters were recalled by only 12–48 percent of the respondents. The difference between the campaign themes and the other messages was statistically significant (</w:t>
      </w:r>
      <w:r w:rsidRPr="0040589A">
        <w:rPr>
          <w:i/>
          <w:iCs/>
        </w:rPr>
        <w:t xml:space="preserve">p </w:t>
      </w:r>
      <w:r w:rsidRPr="0040589A">
        <w:t>= 0.03). The level of recall was not related to respondent gender, reported college class, or self-described level of alcohol consumption.</w:t>
      </w:r>
    </w:p>
    <w:p w14:paraId="1A3080FD" w14:textId="77777777" w:rsidR="00984F09" w:rsidRDefault="00984F09" w:rsidP="00984F09">
      <w:pPr>
        <w:spacing w:line="480" w:lineRule="auto"/>
        <w:jc w:val="both"/>
      </w:pPr>
    </w:p>
    <w:p w14:paraId="51D12182" w14:textId="77777777" w:rsidR="00984F09" w:rsidRPr="00602170" w:rsidRDefault="00984F09" w:rsidP="00984F09">
      <w:pPr>
        <w:spacing w:line="480" w:lineRule="auto"/>
        <w:jc w:val="both"/>
        <w:rPr>
          <w:b/>
          <w:bCs/>
        </w:rPr>
      </w:pPr>
      <w:r w:rsidRPr="00602170">
        <w:rPr>
          <w:b/>
          <w:bCs/>
        </w:rPr>
        <w:t>Media Information Table</w:t>
      </w:r>
    </w:p>
    <w:p w14:paraId="5EFF4986" w14:textId="77777777" w:rsidR="00984F09" w:rsidRDefault="00984F09" w:rsidP="00984F09">
      <w:pPr>
        <w:spacing w:line="480" w:lineRule="auto"/>
        <w:jc w:val="both"/>
      </w:pPr>
    </w:p>
    <w:p w14:paraId="02B47698" w14:textId="77777777" w:rsidR="00984F09" w:rsidRPr="0040589A" w:rsidRDefault="00984F09" w:rsidP="00984F09">
      <w:pPr>
        <w:spacing w:line="480" w:lineRule="auto"/>
        <w:jc w:val="both"/>
      </w:pPr>
      <w:r w:rsidRPr="0040589A">
        <w:t xml:space="preserve">During weeks 1 through 8, the information table was maintained during the Thursday lunch hours in the student union. An AEP staff member answered questions and seven different posters (two campaign theme posters and five others) as well as other materials were available for student use. Overall, more responsible alcohol-use literature was taken during the weeks of the campaign compared to baseline weeks. During the campaign weeks (weeks 3, 4, 7, and 8) an average of 13.00 campaign theme posters were taken per day compared to </w:t>
      </w:r>
      <w:r w:rsidRPr="0040589A">
        <w:lastRenderedPageBreak/>
        <w:t>an average of 5.33 during the baseline weeks (</w:t>
      </w:r>
      <w:r w:rsidRPr="0040589A">
        <w:rPr>
          <w:i/>
          <w:iCs/>
        </w:rPr>
        <w:t>t</w:t>
      </w:r>
      <w:r w:rsidRPr="0040589A">
        <w:t xml:space="preserve">(14) = 2.38, </w:t>
      </w:r>
      <w:r w:rsidRPr="0040589A">
        <w:rPr>
          <w:i/>
          <w:iCs/>
        </w:rPr>
        <w:t xml:space="preserve">p </w:t>
      </w:r>
      <w:r w:rsidRPr="0040589A">
        <w:t>= 0.016, one-tailed). Furthermore, during the four weeks of the campaign an average of 75 pieces of material were taken compared to 51 pieces during the baseline weeks. This difference is in the direction that one would expect if the campaign had been successful; however, the difference was not statistical significant (</w:t>
      </w:r>
      <w:r w:rsidRPr="0040589A">
        <w:rPr>
          <w:i/>
          <w:iCs/>
        </w:rPr>
        <w:t>t</w:t>
      </w:r>
      <w:r w:rsidRPr="0040589A">
        <w:t xml:space="preserve">(14) = 1.42, </w:t>
      </w:r>
      <w:r w:rsidRPr="0040589A">
        <w:rPr>
          <w:i/>
          <w:iCs/>
        </w:rPr>
        <w:t xml:space="preserve">p </w:t>
      </w:r>
      <w:r w:rsidRPr="0040589A">
        <w:t>= 0.089, one-tailed).</w:t>
      </w:r>
    </w:p>
    <w:p w14:paraId="603661AF" w14:textId="77777777" w:rsidR="00984F09" w:rsidRDefault="00984F09" w:rsidP="00984F09">
      <w:pPr>
        <w:spacing w:line="480" w:lineRule="auto"/>
        <w:jc w:val="both"/>
        <w:rPr>
          <w:b/>
          <w:bCs/>
        </w:rPr>
      </w:pPr>
    </w:p>
    <w:p w14:paraId="214E66D2" w14:textId="77777777" w:rsidR="00984F09" w:rsidRPr="00602170" w:rsidRDefault="00984F09" w:rsidP="00984F09">
      <w:pPr>
        <w:spacing w:line="480" w:lineRule="auto"/>
        <w:jc w:val="both"/>
        <w:rPr>
          <w:b/>
          <w:bCs/>
          <w:smallCaps/>
        </w:rPr>
      </w:pPr>
      <w:r>
        <w:rPr>
          <w:b/>
          <w:bCs/>
          <w:smallCaps/>
        </w:rPr>
        <w:t>Conclusions a</w:t>
      </w:r>
      <w:r w:rsidRPr="00602170">
        <w:rPr>
          <w:b/>
          <w:bCs/>
          <w:smallCaps/>
        </w:rPr>
        <w:t>nd Implications</w:t>
      </w:r>
    </w:p>
    <w:p w14:paraId="57CB5483" w14:textId="77777777" w:rsidR="00984F09" w:rsidRDefault="00984F09" w:rsidP="00984F09">
      <w:pPr>
        <w:spacing w:line="480" w:lineRule="auto"/>
        <w:jc w:val="both"/>
      </w:pPr>
    </w:p>
    <w:p w14:paraId="2E7617B5" w14:textId="77777777" w:rsidR="00984F09" w:rsidRPr="0040589A" w:rsidRDefault="00984F09" w:rsidP="00984F09">
      <w:pPr>
        <w:spacing w:line="480" w:lineRule="auto"/>
        <w:jc w:val="both"/>
      </w:pPr>
      <w:r w:rsidRPr="0040589A">
        <w:t>These findings support the use of media, especially multiple media, to publicize responsible alcohol use. Attracting student attention is the essential first step in providing information that may be internalized and may, in turn, result in the development of responsible alcohol use habits.</w:t>
      </w:r>
    </w:p>
    <w:p w14:paraId="037846BC" w14:textId="77777777" w:rsidR="00984F09" w:rsidRPr="0040589A" w:rsidRDefault="00984F09" w:rsidP="00984F09">
      <w:pPr>
        <w:spacing w:line="480" w:lineRule="auto"/>
        <w:ind w:firstLine="360"/>
        <w:jc w:val="both"/>
      </w:pPr>
      <w:r w:rsidRPr="0040589A">
        <w:t>It is important to note that the point of all health education campaigns is to improve health or prevent loss of health. This evaluation has not demonstrated that the media campaign had an effect on the well-being of students. Although the campaign effectively got the students’ attention, there are so many messages endorsing alcohol consumption that the Student Health Center’s goals can easily be thwarted. Like any other single health education effort, it would be hard to show a direct connection between the effort and health of the target population. Nevertheless, these data imply that media programs are effective uses of health educational resources.</w:t>
      </w:r>
    </w:p>
    <w:p w14:paraId="383E54D1" w14:textId="77777777" w:rsidR="00984F09" w:rsidRDefault="00984F09" w:rsidP="00984F09">
      <w:pPr>
        <w:spacing w:line="480" w:lineRule="auto"/>
        <w:jc w:val="both"/>
        <w:rPr>
          <w:b/>
          <w:bCs/>
        </w:rPr>
      </w:pPr>
    </w:p>
    <w:p w14:paraId="4A48AA72" w14:textId="77777777" w:rsidR="00984F09" w:rsidRPr="00602170" w:rsidRDefault="001E11A1" w:rsidP="00984F09">
      <w:pPr>
        <w:spacing w:line="480" w:lineRule="auto"/>
        <w:jc w:val="both"/>
        <w:rPr>
          <w:b/>
          <w:bCs/>
          <w:smallCaps/>
        </w:rPr>
      </w:pPr>
      <w:r>
        <w:rPr>
          <w:b/>
          <w:bCs/>
          <w:smallCaps/>
        </w:rPr>
        <w:br w:type="page"/>
      </w:r>
      <w:r w:rsidR="00984F09" w:rsidRPr="00602170">
        <w:rPr>
          <w:b/>
          <w:bCs/>
          <w:smallCaps/>
        </w:rPr>
        <w:lastRenderedPageBreak/>
        <w:t>References</w:t>
      </w:r>
    </w:p>
    <w:p w14:paraId="60BFAD0E" w14:textId="77777777" w:rsidR="00984F09" w:rsidRDefault="00984F09" w:rsidP="00984F09">
      <w:pPr>
        <w:spacing w:line="480" w:lineRule="auto"/>
        <w:jc w:val="both"/>
      </w:pPr>
    </w:p>
    <w:p w14:paraId="345EE387" w14:textId="77777777" w:rsidR="00984F09" w:rsidRPr="0040589A" w:rsidRDefault="00984F09" w:rsidP="00984F09">
      <w:pPr>
        <w:spacing w:line="480" w:lineRule="auto"/>
        <w:ind w:left="360" w:hanging="360"/>
        <w:jc w:val="both"/>
      </w:pPr>
      <w:r w:rsidRPr="0040589A">
        <w:t xml:space="preserve">A Snapshot of Annual High-Risk College Drinking Consequences. 2007. </w:t>
      </w:r>
      <w:r w:rsidRPr="0040589A">
        <w:rPr>
          <w:i/>
          <w:iCs/>
        </w:rPr>
        <w:t xml:space="preserve">College drinking Changing the culture. </w:t>
      </w:r>
      <w:r w:rsidRPr="0040589A">
        <w:t>Retrieved November 11, 2009. http://www.collegedrinking prevention.gov/.</w:t>
      </w:r>
    </w:p>
    <w:p w14:paraId="374B8C08" w14:textId="77777777" w:rsidR="00984F09" w:rsidRPr="0040589A" w:rsidRDefault="00984F09" w:rsidP="00984F09">
      <w:pPr>
        <w:spacing w:line="480" w:lineRule="auto"/>
        <w:ind w:left="360" w:hanging="360"/>
        <w:jc w:val="both"/>
      </w:pPr>
      <w:r w:rsidRPr="00602170">
        <w:rPr>
          <w:smallCaps/>
        </w:rPr>
        <w:t>Nauert</w:t>
      </w:r>
      <w:r w:rsidRPr="0040589A">
        <w:t xml:space="preserve">, R. 2009. Peer pressure drives college drinking. </w:t>
      </w:r>
      <w:r w:rsidRPr="0040589A">
        <w:rPr>
          <w:i/>
          <w:iCs/>
        </w:rPr>
        <w:t>PsychCentral</w:t>
      </w:r>
      <w:r w:rsidRPr="0040589A">
        <w:t>. Retrieved November 11, 2009. http://psychcentral.com/news/2009/07/10/peer-pressuredrives-college-drinking/7041.html.</w:t>
      </w:r>
    </w:p>
    <w:p w14:paraId="6847EE83" w14:textId="77777777" w:rsidR="00984F09" w:rsidRPr="0040589A" w:rsidRDefault="00984F09" w:rsidP="00984F09">
      <w:pPr>
        <w:spacing w:line="480" w:lineRule="auto"/>
        <w:ind w:left="360" w:hanging="360"/>
        <w:jc w:val="both"/>
      </w:pPr>
      <w:r w:rsidRPr="00602170">
        <w:rPr>
          <w:smallCaps/>
        </w:rPr>
        <w:t>Ray</w:t>
      </w:r>
      <w:r w:rsidRPr="0040589A">
        <w:t xml:space="preserve">, M. 1973. Marketing communication and the hierarchy of effects. In </w:t>
      </w:r>
      <w:r w:rsidRPr="0040589A">
        <w:rPr>
          <w:i/>
          <w:iCs/>
        </w:rPr>
        <w:t>New models for mass communication research</w:t>
      </w:r>
      <w:r w:rsidRPr="0040589A">
        <w:t>, ed. P. Clarke. Beverly Hills, CA: Sage.</w:t>
      </w:r>
    </w:p>
    <w:p w14:paraId="2A960F1A" w14:textId="77777777" w:rsidR="00984F09" w:rsidRPr="0040589A" w:rsidRDefault="00984F09" w:rsidP="00984F09">
      <w:pPr>
        <w:spacing w:line="480" w:lineRule="auto"/>
        <w:ind w:left="360" w:hanging="360"/>
        <w:jc w:val="both"/>
      </w:pPr>
      <w:r w:rsidRPr="00602170">
        <w:rPr>
          <w:smallCaps/>
        </w:rPr>
        <w:t>Rothchild</w:t>
      </w:r>
      <w:r w:rsidRPr="0040589A">
        <w:t xml:space="preserve">, M. L. 1979. Advertising strategies for high and low involvement situations. In </w:t>
      </w:r>
      <w:r w:rsidRPr="0040589A">
        <w:rPr>
          <w:i/>
          <w:iCs/>
        </w:rPr>
        <w:t>Attitude research plays for high stakes</w:t>
      </w:r>
      <w:r w:rsidRPr="0040589A">
        <w:t>, ed. J. Maloney and B. Silverman. New York: American Marketing Association.</w:t>
      </w:r>
    </w:p>
    <w:p w14:paraId="59CE276B" w14:textId="77777777" w:rsidR="00984F09" w:rsidRPr="0040589A" w:rsidRDefault="00984F09" w:rsidP="00984F09">
      <w:pPr>
        <w:spacing w:line="480" w:lineRule="auto"/>
        <w:jc w:val="center"/>
        <w:rPr>
          <w:b/>
          <w:bCs/>
          <w:i/>
          <w:iCs/>
        </w:rPr>
      </w:pPr>
      <w:r>
        <w:rPr>
          <w:b/>
          <w:bCs/>
          <w:i/>
          <w:iCs/>
        </w:rPr>
        <w:br w:type="page"/>
      </w:r>
      <w:r w:rsidRPr="0040589A">
        <w:rPr>
          <w:b/>
          <w:bCs/>
          <w:i/>
          <w:iCs/>
        </w:rPr>
        <w:lastRenderedPageBreak/>
        <w:t>[This page and all pages of the appendices would be</w:t>
      </w:r>
      <w:r>
        <w:rPr>
          <w:b/>
          <w:bCs/>
          <w:i/>
          <w:iCs/>
        </w:rPr>
        <w:br/>
      </w:r>
      <w:r w:rsidRPr="0040589A">
        <w:rPr>
          <w:b/>
          <w:bCs/>
          <w:i/>
          <w:iCs/>
        </w:rPr>
        <w:t>buff colored in the actual report.]</w:t>
      </w:r>
    </w:p>
    <w:p w14:paraId="54CB1EF1" w14:textId="77777777" w:rsidR="00984F09" w:rsidRDefault="00984F09" w:rsidP="00984F09">
      <w:pPr>
        <w:spacing w:line="480" w:lineRule="auto"/>
        <w:jc w:val="both"/>
        <w:rPr>
          <w:b/>
          <w:bCs/>
        </w:rPr>
      </w:pPr>
    </w:p>
    <w:p w14:paraId="0F6EF30C" w14:textId="77777777" w:rsidR="00984F09" w:rsidRDefault="00984F09" w:rsidP="00984F09">
      <w:pPr>
        <w:spacing w:line="480" w:lineRule="auto"/>
        <w:jc w:val="both"/>
        <w:rPr>
          <w:b/>
          <w:bCs/>
          <w:smallCaps/>
        </w:rPr>
      </w:pPr>
      <w:r w:rsidRPr="00602170">
        <w:rPr>
          <w:b/>
          <w:bCs/>
          <w:smallCaps/>
        </w:rPr>
        <w:t>Appendices</w:t>
      </w:r>
    </w:p>
    <w:p w14:paraId="2E6ED1A0" w14:textId="77777777" w:rsidR="00984F09" w:rsidRPr="00602170" w:rsidRDefault="00984F09" w:rsidP="00984F09">
      <w:pPr>
        <w:spacing w:line="480" w:lineRule="auto"/>
        <w:jc w:val="both"/>
        <w:rPr>
          <w:b/>
          <w:bCs/>
          <w:smallCaps/>
        </w:rPr>
      </w:pPr>
    </w:p>
    <w:p w14:paraId="6C6CBECA" w14:textId="77777777" w:rsidR="00984F09" w:rsidRPr="0040589A" w:rsidRDefault="00984F09" w:rsidP="00984F09">
      <w:pPr>
        <w:spacing w:line="480" w:lineRule="auto"/>
        <w:ind w:left="720" w:hanging="360"/>
        <w:jc w:val="both"/>
      </w:pPr>
      <w:r>
        <w:t>1.</w:t>
      </w:r>
      <w:r>
        <w:tab/>
      </w:r>
      <w:r w:rsidRPr="0040589A">
        <w:t>List of the locations of the posters during the campaign.</w:t>
      </w:r>
    </w:p>
    <w:p w14:paraId="22E03928" w14:textId="77777777" w:rsidR="00984F09" w:rsidRPr="0040589A" w:rsidRDefault="00984F09" w:rsidP="00984F09">
      <w:pPr>
        <w:spacing w:line="480" w:lineRule="auto"/>
        <w:ind w:left="720" w:hanging="360"/>
        <w:jc w:val="both"/>
      </w:pPr>
      <w:r>
        <w:t>2.</w:t>
      </w:r>
      <w:r>
        <w:tab/>
      </w:r>
      <w:r w:rsidRPr="0040589A">
        <w:t>Reproductions of the posters used.</w:t>
      </w:r>
    </w:p>
    <w:p w14:paraId="0EFD6B0E" w14:textId="77777777" w:rsidR="00984F09" w:rsidRPr="0040589A" w:rsidRDefault="00984F09" w:rsidP="00984F09">
      <w:pPr>
        <w:spacing w:line="480" w:lineRule="auto"/>
        <w:ind w:left="720" w:hanging="360"/>
        <w:jc w:val="both"/>
      </w:pPr>
      <w:r>
        <w:t>3.</w:t>
      </w:r>
      <w:r>
        <w:tab/>
      </w:r>
      <w:r w:rsidRPr="0040589A">
        <w:t>Interview questions.</w:t>
      </w:r>
    </w:p>
    <w:p w14:paraId="2B00C26B" w14:textId="77777777" w:rsidR="00984F09" w:rsidRPr="0040589A" w:rsidRDefault="00984F09" w:rsidP="00984F09">
      <w:pPr>
        <w:spacing w:line="480" w:lineRule="auto"/>
        <w:ind w:left="720" w:hanging="360"/>
        <w:jc w:val="both"/>
      </w:pPr>
      <w:r>
        <w:t>4.</w:t>
      </w:r>
      <w:r>
        <w:tab/>
      </w:r>
      <w:r w:rsidRPr="0040589A">
        <w:t>Mailed survey.</w:t>
      </w:r>
    </w:p>
    <w:p w14:paraId="572F3D8A" w14:textId="77777777" w:rsidR="00984F09" w:rsidRPr="0040589A" w:rsidRDefault="00984F09" w:rsidP="00984F09">
      <w:pPr>
        <w:spacing w:line="480" w:lineRule="auto"/>
        <w:ind w:left="720" w:hanging="360"/>
        <w:jc w:val="both"/>
      </w:pPr>
      <w:r>
        <w:t>5.</w:t>
      </w:r>
      <w:r>
        <w:tab/>
      </w:r>
      <w:r w:rsidRPr="0040589A">
        <w:t>Means, standard deviations, and sample sizes.</w:t>
      </w:r>
    </w:p>
    <w:p w14:paraId="4A58B997" w14:textId="77777777" w:rsidR="00984F09" w:rsidRDefault="00984F09" w:rsidP="00984F09">
      <w:pPr>
        <w:spacing w:line="480" w:lineRule="auto"/>
        <w:jc w:val="both"/>
        <w:rPr>
          <w:b/>
          <w:bCs/>
          <w:i/>
          <w:iCs/>
        </w:rPr>
      </w:pPr>
    </w:p>
    <w:p w14:paraId="48D4A342" w14:textId="77777777" w:rsidR="00984F09" w:rsidRDefault="00984F09" w:rsidP="00984F09">
      <w:pPr>
        <w:spacing w:line="480" w:lineRule="auto"/>
        <w:jc w:val="both"/>
        <w:rPr>
          <w:b/>
          <w:bCs/>
          <w:i/>
          <w:iCs/>
        </w:rPr>
      </w:pPr>
      <w:r w:rsidRPr="0040589A">
        <w:rPr>
          <w:b/>
          <w:bCs/>
          <w:i/>
          <w:iCs/>
        </w:rPr>
        <w:t>[It is recommended that a written report also include these items. Many external evaluators (but few internal evaluators) also include letters of agreement relevant to the initiation of the evaluation project. To conserve space neither the items listed above nor letters of agreement have been included in this illustrative report.]</w:t>
      </w:r>
    </w:p>
    <w:sectPr w:rsidR="00984F09" w:rsidSect="0084564C">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8ED80" w14:textId="77777777" w:rsidR="00603143" w:rsidRDefault="00603143">
      <w:r>
        <w:separator/>
      </w:r>
    </w:p>
  </w:endnote>
  <w:endnote w:type="continuationSeparator" w:id="0">
    <w:p w14:paraId="4F8E1A8C" w14:textId="77777777" w:rsidR="00603143" w:rsidRDefault="0060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FBD8E" w14:textId="77777777" w:rsidR="00603143" w:rsidRDefault="00603143">
      <w:r>
        <w:separator/>
      </w:r>
    </w:p>
  </w:footnote>
  <w:footnote w:type="continuationSeparator" w:id="0">
    <w:p w14:paraId="39EE62D2" w14:textId="77777777" w:rsidR="00603143" w:rsidRDefault="00603143">
      <w:r>
        <w:continuationSeparator/>
      </w:r>
    </w:p>
  </w:footnote>
  <w:footnote w:id="1">
    <w:p w14:paraId="3F882F27" w14:textId="77777777" w:rsidR="00000000" w:rsidRDefault="00984F09" w:rsidP="00984F09">
      <w:pPr>
        <w:pStyle w:val="FootnoteText"/>
      </w:pPr>
      <w:r>
        <w:rPr>
          <w:rStyle w:val="FootnoteReference"/>
        </w:rPr>
        <w:footnoteRef/>
      </w:r>
      <w:r>
        <w:t xml:space="preserve"> </w:t>
      </w:r>
      <w:r w:rsidRPr="0040589A">
        <w:t>McKillip, J., Lockhart, D. C., Eckert, P. S., and Philips, J.,1985. Adapted with permission.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2ADD4"/>
    <w:multiLevelType w:val="singleLevel"/>
    <w:tmpl w:val="FFFFFFFF"/>
    <w:lvl w:ilvl="0">
      <w:start w:val="120"/>
      <w:numFmt w:val="decimal"/>
      <w:lvlText w:val="%1,"/>
      <w:lvlJc w:val="left"/>
      <w:pPr>
        <w:tabs>
          <w:tab w:val="num" w:pos="576"/>
        </w:tabs>
        <w:ind w:left="216"/>
      </w:pPr>
      <w:rPr>
        <w:rFonts w:cs="Times New Roman"/>
        <w:snapToGrid/>
        <w:sz w:val="18"/>
        <w:szCs w:val="18"/>
      </w:rPr>
    </w:lvl>
  </w:abstractNum>
  <w:abstractNum w:abstractNumId="1" w15:restartNumberingAfterBreak="0">
    <w:nsid w:val="03BE8F2B"/>
    <w:multiLevelType w:val="singleLevel"/>
    <w:tmpl w:val="FFFFFFFF"/>
    <w:lvl w:ilvl="0">
      <w:start w:val="120"/>
      <w:numFmt w:val="decimal"/>
      <w:lvlText w:val="%1,"/>
      <w:lvlJc w:val="left"/>
      <w:pPr>
        <w:tabs>
          <w:tab w:val="num" w:pos="576"/>
        </w:tabs>
        <w:ind w:left="216"/>
      </w:pPr>
      <w:rPr>
        <w:rFonts w:cs="Times New Roman"/>
        <w:snapToGrid/>
        <w:sz w:val="18"/>
        <w:szCs w:val="18"/>
      </w:rPr>
    </w:lvl>
  </w:abstractNum>
  <w:abstractNum w:abstractNumId="2" w15:restartNumberingAfterBreak="0">
    <w:nsid w:val="048F4137"/>
    <w:multiLevelType w:val="singleLevel"/>
    <w:tmpl w:val="FFFFFFFF"/>
    <w:lvl w:ilvl="0">
      <w:start w:val="2"/>
      <w:numFmt w:val="decimal"/>
      <w:lvlText w:val="(%1)"/>
      <w:lvlJc w:val="left"/>
      <w:pPr>
        <w:tabs>
          <w:tab w:val="num" w:pos="720"/>
        </w:tabs>
        <w:ind w:left="360"/>
      </w:pPr>
      <w:rPr>
        <w:rFonts w:cs="Times New Roman"/>
        <w:snapToGrid/>
        <w:sz w:val="18"/>
        <w:szCs w:val="18"/>
      </w:rPr>
    </w:lvl>
  </w:abstractNum>
  <w:abstractNum w:abstractNumId="3" w15:restartNumberingAfterBreak="0">
    <w:nsid w:val="04BE0A5C"/>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062A4FD1"/>
    <w:multiLevelType w:val="singleLevel"/>
    <w:tmpl w:val="FFFFFFFF"/>
    <w:lvl w:ilvl="0">
      <w:numFmt w:val="bullet"/>
      <w:lvlText w:val="·"/>
      <w:lvlJc w:val="left"/>
      <w:pPr>
        <w:tabs>
          <w:tab w:val="num" w:pos="360"/>
        </w:tabs>
      </w:pPr>
      <w:rPr>
        <w:rFonts w:ascii="Symbol" w:hAnsi="Symbol"/>
        <w:snapToGrid/>
        <w:sz w:val="18"/>
      </w:rPr>
    </w:lvl>
  </w:abstractNum>
  <w:abstractNum w:abstractNumId="5" w15:restartNumberingAfterBreak="0">
    <w:nsid w:val="077847CF"/>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0F7F2FAC"/>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17264AED"/>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1A5D0E3A"/>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D156187"/>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1DA60EFB"/>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3663764"/>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15:restartNumberingAfterBreak="0">
    <w:nsid w:val="24755328"/>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26C471D0"/>
    <w:multiLevelType w:val="hybridMultilevel"/>
    <w:tmpl w:val="FFFFFFFF"/>
    <w:lvl w:ilvl="0" w:tplc="0409000F">
      <w:start w:val="1"/>
      <w:numFmt w:val="decimal"/>
      <w:lvlText w:val="%1."/>
      <w:lvlJc w:val="left"/>
      <w:pPr>
        <w:tabs>
          <w:tab w:val="num" w:pos="576"/>
        </w:tabs>
        <w:ind w:left="576" w:hanging="360"/>
      </w:pPr>
      <w:rPr>
        <w:rFonts w:cs="Times New Roman"/>
      </w:rPr>
    </w:lvl>
    <w:lvl w:ilvl="1" w:tplc="04090019">
      <w:start w:val="1"/>
      <w:numFmt w:val="lowerLetter"/>
      <w:lvlText w:val="%2."/>
      <w:lvlJc w:val="left"/>
      <w:pPr>
        <w:tabs>
          <w:tab w:val="num" w:pos="1296"/>
        </w:tabs>
        <w:ind w:left="1296" w:hanging="360"/>
      </w:pPr>
      <w:rPr>
        <w:rFonts w:cs="Times New Roman"/>
      </w:rPr>
    </w:lvl>
    <w:lvl w:ilvl="2" w:tplc="0409001B">
      <w:start w:val="1"/>
      <w:numFmt w:val="lowerRoman"/>
      <w:lvlText w:val="%3."/>
      <w:lvlJc w:val="right"/>
      <w:pPr>
        <w:tabs>
          <w:tab w:val="num" w:pos="2016"/>
        </w:tabs>
        <w:ind w:left="2016" w:hanging="18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lowerLetter"/>
      <w:lvlText w:val="%5."/>
      <w:lvlJc w:val="left"/>
      <w:pPr>
        <w:tabs>
          <w:tab w:val="num" w:pos="3456"/>
        </w:tabs>
        <w:ind w:left="3456" w:hanging="360"/>
      </w:pPr>
      <w:rPr>
        <w:rFonts w:cs="Times New Roman"/>
      </w:rPr>
    </w:lvl>
    <w:lvl w:ilvl="5" w:tplc="0409001B">
      <w:start w:val="1"/>
      <w:numFmt w:val="lowerRoman"/>
      <w:lvlText w:val="%6."/>
      <w:lvlJc w:val="right"/>
      <w:pPr>
        <w:tabs>
          <w:tab w:val="num" w:pos="4176"/>
        </w:tabs>
        <w:ind w:left="4176" w:hanging="18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lowerLetter"/>
      <w:lvlText w:val="%8."/>
      <w:lvlJc w:val="left"/>
      <w:pPr>
        <w:tabs>
          <w:tab w:val="num" w:pos="5616"/>
        </w:tabs>
        <w:ind w:left="5616" w:hanging="360"/>
      </w:pPr>
      <w:rPr>
        <w:rFonts w:cs="Times New Roman"/>
      </w:rPr>
    </w:lvl>
    <w:lvl w:ilvl="8" w:tplc="0409001B">
      <w:start w:val="1"/>
      <w:numFmt w:val="lowerRoman"/>
      <w:lvlText w:val="%9."/>
      <w:lvlJc w:val="right"/>
      <w:pPr>
        <w:tabs>
          <w:tab w:val="num" w:pos="6336"/>
        </w:tabs>
        <w:ind w:left="6336" w:hanging="180"/>
      </w:pPr>
      <w:rPr>
        <w:rFonts w:cs="Times New Roman"/>
      </w:rPr>
    </w:lvl>
  </w:abstractNum>
  <w:abstractNum w:abstractNumId="14" w15:restartNumberingAfterBreak="0">
    <w:nsid w:val="292365E9"/>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15:restartNumberingAfterBreak="0">
    <w:nsid w:val="2FAE64DC"/>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32621A54"/>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15:restartNumberingAfterBreak="0">
    <w:nsid w:val="36115B58"/>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15:restartNumberingAfterBreak="0">
    <w:nsid w:val="36174D34"/>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15:restartNumberingAfterBreak="0">
    <w:nsid w:val="36CC6FC7"/>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378E7554"/>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39BC2052"/>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3B2A6BA8"/>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42F56F32"/>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47B51E39"/>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15:restartNumberingAfterBreak="0">
    <w:nsid w:val="4A5B4C93"/>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15:restartNumberingAfterBreak="0">
    <w:nsid w:val="4AA618CE"/>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526701D2"/>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8" w15:restartNumberingAfterBreak="0">
    <w:nsid w:val="5FD1126A"/>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15:restartNumberingAfterBreak="0">
    <w:nsid w:val="62884043"/>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0" w15:restartNumberingAfterBreak="0">
    <w:nsid w:val="636B38BA"/>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1" w15:restartNumberingAfterBreak="0">
    <w:nsid w:val="67917C25"/>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2" w15:restartNumberingAfterBreak="0">
    <w:nsid w:val="698B3892"/>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3" w15:restartNumberingAfterBreak="0">
    <w:nsid w:val="6A6F7915"/>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4" w15:restartNumberingAfterBreak="0">
    <w:nsid w:val="6CBA6D3B"/>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5" w15:restartNumberingAfterBreak="0">
    <w:nsid w:val="6E946F25"/>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6" w15:restartNumberingAfterBreak="0">
    <w:nsid w:val="717C7462"/>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7" w15:restartNumberingAfterBreak="0">
    <w:nsid w:val="740B1893"/>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8" w15:restartNumberingAfterBreak="0">
    <w:nsid w:val="7A9B57E1"/>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9" w15:restartNumberingAfterBreak="0">
    <w:nsid w:val="7CB61DEB"/>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0" w15:restartNumberingAfterBreak="0">
    <w:nsid w:val="7D0F705E"/>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7E8640DD"/>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54435132">
    <w:abstractNumId w:val="4"/>
  </w:num>
  <w:num w:numId="2" w16cid:durableId="1841235311">
    <w:abstractNumId w:val="4"/>
    <w:lvlOverride w:ilvl="0">
      <w:lvl w:ilvl="0">
        <w:numFmt w:val="bullet"/>
        <w:lvlText w:val="·"/>
        <w:lvlJc w:val="left"/>
        <w:pPr>
          <w:tabs>
            <w:tab w:val="num" w:pos="576"/>
          </w:tabs>
          <w:ind w:left="576" w:hanging="360"/>
        </w:pPr>
        <w:rPr>
          <w:rFonts w:ascii="Symbol" w:hAnsi="Symbol"/>
          <w:i/>
          <w:snapToGrid/>
          <w:sz w:val="18"/>
        </w:rPr>
      </w:lvl>
    </w:lvlOverride>
  </w:num>
  <w:num w:numId="3" w16cid:durableId="343946593">
    <w:abstractNumId w:val="4"/>
    <w:lvlOverride w:ilvl="0">
      <w:lvl w:ilvl="0">
        <w:numFmt w:val="bullet"/>
        <w:lvlText w:val="·"/>
        <w:lvlJc w:val="left"/>
        <w:pPr>
          <w:tabs>
            <w:tab w:val="num" w:pos="360"/>
          </w:tabs>
          <w:ind w:left="360" w:hanging="360"/>
        </w:pPr>
        <w:rPr>
          <w:rFonts w:ascii="Symbol" w:hAnsi="Symbol"/>
          <w:snapToGrid/>
          <w:sz w:val="18"/>
        </w:rPr>
      </w:lvl>
    </w:lvlOverride>
  </w:num>
  <w:num w:numId="4" w16cid:durableId="8987481">
    <w:abstractNumId w:val="4"/>
    <w:lvlOverride w:ilvl="0">
      <w:lvl w:ilvl="0">
        <w:numFmt w:val="bullet"/>
        <w:lvlText w:val="·"/>
        <w:lvlJc w:val="left"/>
        <w:pPr>
          <w:tabs>
            <w:tab w:val="num" w:pos="360"/>
          </w:tabs>
          <w:ind w:left="360" w:hanging="360"/>
        </w:pPr>
        <w:rPr>
          <w:rFonts w:ascii="Symbol" w:hAnsi="Symbol"/>
          <w:snapToGrid/>
          <w:sz w:val="19"/>
        </w:rPr>
      </w:lvl>
    </w:lvlOverride>
  </w:num>
  <w:num w:numId="5" w16cid:durableId="1174147582">
    <w:abstractNumId w:val="2"/>
  </w:num>
  <w:num w:numId="6" w16cid:durableId="1654141917">
    <w:abstractNumId w:val="4"/>
    <w:lvlOverride w:ilvl="0">
      <w:lvl w:ilvl="0">
        <w:numFmt w:val="bullet"/>
        <w:lvlText w:val="·"/>
        <w:lvlJc w:val="left"/>
        <w:pPr>
          <w:tabs>
            <w:tab w:val="num" w:pos="360"/>
          </w:tabs>
        </w:pPr>
        <w:rPr>
          <w:rFonts w:ascii="Symbol" w:hAnsi="Symbol"/>
          <w:snapToGrid/>
          <w:sz w:val="19"/>
        </w:rPr>
      </w:lvl>
    </w:lvlOverride>
  </w:num>
  <w:num w:numId="7" w16cid:durableId="1462191779">
    <w:abstractNumId w:val="0"/>
  </w:num>
  <w:num w:numId="8" w16cid:durableId="744644282">
    <w:abstractNumId w:val="1"/>
  </w:num>
  <w:num w:numId="9" w16cid:durableId="1329554331">
    <w:abstractNumId w:val="9"/>
  </w:num>
  <w:num w:numId="10" w16cid:durableId="1833182850">
    <w:abstractNumId w:val="13"/>
  </w:num>
  <w:num w:numId="11" w16cid:durableId="175193603">
    <w:abstractNumId w:val="7"/>
  </w:num>
  <w:num w:numId="12" w16cid:durableId="712929393">
    <w:abstractNumId w:val="6"/>
  </w:num>
  <w:num w:numId="13" w16cid:durableId="2091460246">
    <w:abstractNumId w:val="16"/>
  </w:num>
  <w:num w:numId="14" w16cid:durableId="2083793850">
    <w:abstractNumId w:val="15"/>
  </w:num>
  <w:num w:numId="15" w16cid:durableId="1108504239">
    <w:abstractNumId w:val="12"/>
  </w:num>
  <w:num w:numId="16" w16cid:durableId="2006471941">
    <w:abstractNumId w:val="19"/>
  </w:num>
  <w:num w:numId="17" w16cid:durableId="1774549769">
    <w:abstractNumId w:val="8"/>
  </w:num>
  <w:num w:numId="18" w16cid:durableId="1743521510">
    <w:abstractNumId w:val="33"/>
  </w:num>
  <w:num w:numId="19" w16cid:durableId="1472290691">
    <w:abstractNumId w:val="37"/>
  </w:num>
  <w:num w:numId="20" w16cid:durableId="1858886684">
    <w:abstractNumId w:val="5"/>
  </w:num>
  <w:num w:numId="21" w16cid:durableId="1738749433">
    <w:abstractNumId w:val="35"/>
  </w:num>
  <w:num w:numId="22" w16cid:durableId="1605960165">
    <w:abstractNumId w:val="20"/>
  </w:num>
  <w:num w:numId="23" w16cid:durableId="1820802724">
    <w:abstractNumId w:val="36"/>
  </w:num>
  <w:num w:numId="24" w16cid:durableId="1650597609">
    <w:abstractNumId w:val="18"/>
  </w:num>
  <w:num w:numId="25" w16cid:durableId="404956345">
    <w:abstractNumId w:val="39"/>
  </w:num>
  <w:num w:numId="26" w16cid:durableId="2142455769">
    <w:abstractNumId w:val="10"/>
  </w:num>
  <w:num w:numId="27" w16cid:durableId="96751363">
    <w:abstractNumId w:val="34"/>
  </w:num>
  <w:num w:numId="28" w16cid:durableId="1829049525">
    <w:abstractNumId w:val="25"/>
  </w:num>
  <w:num w:numId="29" w16cid:durableId="481822694">
    <w:abstractNumId w:val="23"/>
  </w:num>
  <w:num w:numId="30" w16cid:durableId="735399357">
    <w:abstractNumId w:val="29"/>
  </w:num>
  <w:num w:numId="31" w16cid:durableId="202788106">
    <w:abstractNumId w:val="31"/>
  </w:num>
  <w:num w:numId="32" w16cid:durableId="870727340">
    <w:abstractNumId w:val="32"/>
  </w:num>
  <w:num w:numId="33" w16cid:durableId="498080335">
    <w:abstractNumId w:val="14"/>
  </w:num>
  <w:num w:numId="34" w16cid:durableId="2082481329">
    <w:abstractNumId w:val="17"/>
  </w:num>
  <w:num w:numId="35" w16cid:durableId="1153643525">
    <w:abstractNumId w:val="22"/>
  </w:num>
  <w:num w:numId="36" w16cid:durableId="1425371120">
    <w:abstractNumId w:val="27"/>
  </w:num>
  <w:num w:numId="37" w16cid:durableId="641692069">
    <w:abstractNumId w:val="41"/>
  </w:num>
  <w:num w:numId="38" w16cid:durableId="160973986">
    <w:abstractNumId w:val="11"/>
  </w:num>
  <w:num w:numId="39" w16cid:durableId="867370734">
    <w:abstractNumId w:val="21"/>
  </w:num>
  <w:num w:numId="40" w16cid:durableId="461339740">
    <w:abstractNumId w:val="30"/>
  </w:num>
  <w:num w:numId="41" w16cid:durableId="860555790">
    <w:abstractNumId w:val="28"/>
  </w:num>
  <w:num w:numId="42" w16cid:durableId="1727490706">
    <w:abstractNumId w:val="26"/>
  </w:num>
  <w:num w:numId="43" w16cid:durableId="849638311">
    <w:abstractNumId w:val="24"/>
  </w:num>
  <w:num w:numId="44" w16cid:durableId="547032777">
    <w:abstractNumId w:val="38"/>
  </w:num>
  <w:num w:numId="45" w16cid:durableId="1523203498">
    <w:abstractNumId w:val="3"/>
  </w:num>
  <w:num w:numId="46" w16cid:durableId="14627683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defaultTabStop w:val="360"/>
  <w:doNotHyphenateCap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BB"/>
    <w:rsid w:val="00004386"/>
    <w:rsid w:val="000133EF"/>
    <w:rsid w:val="00015758"/>
    <w:rsid w:val="00022118"/>
    <w:rsid w:val="00025A1F"/>
    <w:rsid w:val="00025F99"/>
    <w:rsid w:val="00026353"/>
    <w:rsid w:val="00027927"/>
    <w:rsid w:val="000300F5"/>
    <w:rsid w:val="00040CF5"/>
    <w:rsid w:val="000432CB"/>
    <w:rsid w:val="00043379"/>
    <w:rsid w:val="00044D82"/>
    <w:rsid w:val="00045350"/>
    <w:rsid w:val="00050252"/>
    <w:rsid w:val="00050FA8"/>
    <w:rsid w:val="00052C09"/>
    <w:rsid w:val="00057B5D"/>
    <w:rsid w:val="00063B76"/>
    <w:rsid w:val="00064FD9"/>
    <w:rsid w:val="00066567"/>
    <w:rsid w:val="0007699F"/>
    <w:rsid w:val="000829C4"/>
    <w:rsid w:val="00083ED8"/>
    <w:rsid w:val="00083FD1"/>
    <w:rsid w:val="000847AA"/>
    <w:rsid w:val="00087673"/>
    <w:rsid w:val="00087A2F"/>
    <w:rsid w:val="00091AFF"/>
    <w:rsid w:val="000A5B12"/>
    <w:rsid w:val="000A633F"/>
    <w:rsid w:val="000B0A15"/>
    <w:rsid w:val="000B3DBD"/>
    <w:rsid w:val="000B6FE5"/>
    <w:rsid w:val="000C0B1A"/>
    <w:rsid w:val="000C65B4"/>
    <w:rsid w:val="000D48BF"/>
    <w:rsid w:val="000D75C2"/>
    <w:rsid w:val="000E1BD9"/>
    <w:rsid w:val="000E336E"/>
    <w:rsid w:val="000E39BF"/>
    <w:rsid w:val="000E4571"/>
    <w:rsid w:val="000E46E8"/>
    <w:rsid w:val="000F2322"/>
    <w:rsid w:val="000F3AF8"/>
    <w:rsid w:val="000F477F"/>
    <w:rsid w:val="000F6F22"/>
    <w:rsid w:val="0010084B"/>
    <w:rsid w:val="00102305"/>
    <w:rsid w:val="00103B3B"/>
    <w:rsid w:val="001069D9"/>
    <w:rsid w:val="00107CBB"/>
    <w:rsid w:val="0011026C"/>
    <w:rsid w:val="001109A4"/>
    <w:rsid w:val="00110F74"/>
    <w:rsid w:val="001124C0"/>
    <w:rsid w:val="00115062"/>
    <w:rsid w:val="001210DD"/>
    <w:rsid w:val="00124565"/>
    <w:rsid w:val="00124D00"/>
    <w:rsid w:val="00125612"/>
    <w:rsid w:val="00131048"/>
    <w:rsid w:val="001319B3"/>
    <w:rsid w:val="001348CD"/>
    <w:rsid w:val="00135F6D"/>
    <w:rsid w:val="00136F32"/>
    <w:rsid w:val="00145CE9"/>
    <w:rsid w:val="00146963"/>
    <w:rsid w:val="0015570E"/>
    <w:rsid w:val="0015628B"/>
    <w:rsid w:val="00156A2B"/>
    <w:rsid w:val="00160005"/>
    <w:rsid w:val="0017080C"/>
    <w:rsid w:val="00180E6D"/>
    <w:rsid w:val="0018750A"/>
    <w:rsid w:val="00190737"/>
    <w:rsid w:val="00190BD5"/>
    <w:rsid w:val="00192113"/>
    <w:rsid w:val="00196A07"/>
    <w:rsid w:val="00197484"/>
    <w:rsid w:val="00197D9D"/>
    <w:rsid w:val="001A2307"/>
    <w:rsid w:val="001A2698"/>
    <w:rsid w:val="001A4F32"/>
    <w:rsid w:val="001B17B4"/>
    <w:rsid w:val="001B1DD0"/>
    <w:rsid w:val="001B3BF8"/>
    <w:rsid w:val="001B4C78"/>
    <w:rsid w:val="001B5566"/>
    <w:rsid w:val="001B5F59"/>
    <w:rsid w:val="001B635E"/>
    <w:rsid w:val="001C0657"/>
    <w:rsid w:val="001C089B"/>
    <w:rsid w:val="001D0E90"/>
    <w:rsid w:val="001D16BB"/>
    <w:rsid w:val="001D4A5C"/>
    <w:rsid w:val="001D60CA"/>
    <w:rsid w:val="001D786D"/>
    <w:rsid w:val="001E11A1"/>
    <w:rsid w:val="001E6377"/>
    <w:rsid w:val="001E79C1"/>
    <w:rsid w:val="001F3B0F"/>
    <w:rsid w:val="001F73FC"/>
    <w:rsid w:val="0020281A"/>
    <w:rsid w:val="00202F35"/>
    <w:rsid w:val="002037B3"/>
    <w:rsid w:val="00203E19"/>
    <w:rsid w:val="002055E8"/>
    <w:rsid w:val="002057EE"/>
    <w:rsid w:val="0020726A"/>
    <w:rsid w:val="00210357"/>
    <w:rsid w:val="00215A6E"/>
    <w:rsid w:val="00216D50"/>
    <w:rsid w:val="00223E11"/>
    <w:rsid w:val="002262D6"/>
    <w:rsid w:val="002262E4"/>
    <w:rsid w:val="00231564"/>
    <w:rsid w:val="00231D06"/>
    <w:rsid w:val="00234D98"/>
    <w:rsid w:val="002365D4"/>
    <w:rsid w:val="00237616"/>
    <w:rsid w:val="00243259"/>
    <w:rsid w:val="0024607A"/>
    <w:rsid w:val="002479AA"/>
    <w:rsid w:val="002479F2"/>
    <w:rsid w:val="0025095D"/>
    <w:rsid w:val="002543CF"/>
    <w:rsid w:val="00254489"/>
    <w:rsid w:val="00263628"/>
    <w:rsid w:val="00274533"/>
    <w:rsid w:val="00274D4D"/>
    <w:rsid w:val="00277805"/>
    <w:rsid w:val="00281F58"/>
    <w:rsid w:val="002852D2"/>
    <w:rsid w:val="002860BE"/>
    <w:rsid w:val="002866DB"/>
    <w:rsid w:val="00287BE8"/>
    <w:rsid w:val="0029103E"/>
    <w:rsid w:val="00291FC3"/>
    <w:rsid w:val="00292538"/>
    <w:rsid w:val="002928FA"/>
    <w:rsid w:val="00293583"/>
    <w:rsid w:val="00295206"/>
    <w:rsid w:val="002969CD"/>
    <w:rsid w:val="002A0192"/>
    <w:rsid w:val="002A3BF2"/>
    <w:rsid w:val="002A3DC1"/>
    <w:rsid w:val="002A430B"/>
    <w:rsid w:val="002A5BEE"/>
    <w:rsid w:val="002B0042"/>
    <w:rsid w:val="002B154B"/>
    <w:rsid w:val="002B79AF"/>
    <w:rsid w:val="002C0D91"/>
    <w:rsid w:val="002C3756"/>
    <w:rsid w:val="002C3D26"/>
    <w:rsid w:val="002C3DD4"/>
    <w:rsid w:val="002C5827"/>
    <w:rsid w:val="002C5BAA"/>
    <w:rsid w:val="002C7A29"/>
    <w:rsid w:val="002D3394"/>
    <w:rsid w:val="002D4766"/>
    <w:rsid w:val="002D617B"/>
    <w:rsid w:val="002E0492"/>
    <w:rsid w:val="002E0ECD"/>
    <w:rsid w:val="002F1F0F"/>
    <w:rsid w:val="002F236D"/>
    <w:rsid w:val="002F5E2D"/>
    <w:rsid w:val="002F685E"/>
    <w:rsid w:val="002F6B92"/>
    <w:rsid w:val="002F7898"/>
    <w:rsid w:val="00303BC4"/>
    <w:rsid w:val="00305A4B"/>
    <w:rsid w:val="00311C28"/>
    <w:rsid w:val="00315525"/>
    <w:rsid w:val="00316D19"/>
    <w:rsid w:val="00317B35"/>
    <w:rsid w:val="00320B59"/>
    <w:rsid w:val="00321C7A"/>
    <w:rsid w:val="00322F19"/>
    <w:rsid w:val="0033023B"/>
    <w:rsid w:val="003324D6"/>
    <w:rsid w:val="00332A69"/>
    <w:rsid w:val="00333206"/>
    <w:rsid w:val="003402A2"/>
    <w:rsid w:val="0034169E"/>
    <w:rsid w:val="00344F86"/>
    <w:rsid w:val="00346393"/>
    <w:rsid w:val="003467EF"/>
    <w:rsid w:val="00356725"/>
    <w:rsid w:val="00360681"/>
    <w:rsid w:val="00360A63"/>
    <w:rsid w:val="00364F02"/>
    <w:rsid w:val="003656CF"/>
    <w:rsid w:val="00370B53"/>
    <w:rsid w:val="0037277A"/>
    <w:rsid w:val="0038157C"/>
    <w:rsid w:val="003964EE"/>
    <w:rsid w:val="003A5F9D"/>
    <w:rsid w:val="003A6D63"/>
    <w:rsid w:val="003B0946"/>
    <w:rsid w:val="003B263E"/>
    <w:rsid w:val="003B43D3"/>
    <w:rsid w:val="003B4ABD"/>
    <w:rsid w:val="003C0C79"/>
    <w:rsid w:val="003C29CA"/>
    <w:rsid w:val="003C542B"/>
    <w:rsid w:val="003C76E8"/>
    <w:rsid w:val="003D1922"/>
    <w:rsid w:val="003D31C0"/>
    <w:rsid w:val="003D4B80"/>
    <w:rsid w:val="003D6820"/>
    <w:rsid w:val="003D78EB"/>
    <w:rsid w:val="003E00DA"/>
    <w:rsid w:val="003E1EE7"/>
    <w:rsid w:val="003E34C4"/>
    <w:rsid w:val="003E4A3E"/>
    <w:rsid w:val="003F58EC"/>
    <w:rsid w:val="004014C6"/>
    <w:rsid w:val="00403210"/>
    <w:rsid w:val="00403CFF"/>
    <w:rsid w:val="0040589A"/>
    <w:rsid w:val="0040688C"/>
    <w:rsid w:val="00416E6C"/>
    <w:rsid w:val="0041705C"/>
    <w:rsid w:val="00421CC6"/>
    <w:rsid w:val="00423447"/>
    <w:rsid w:val="00425B6C"/>
    <w:rsid w:val="00425F9A"/>
    <w:rsid w:val="0043587D"/>
    <w:rsid w:val="004401D6"/>
    <w:rsid w:val="004426E8"/>
    <w:rsid w:val="00442767"/>
    <w:rsid w:val="00442F6B"/>
    <w:rsid w:val="0044419B"/>
    <w:rsid w:val="00445D4C"/>
    <w:rsid w:val="00450407"/>
    <w:rsid w:val="00452CD7"/>
    <w:rsid w:val="00457965"/>
    <w:rsid w:val="00462B2D"/>
    <w:rsid w:val="004639D0"/>
    <w:rsid w:val="00466302"/>
    <w:rsid w:val="00471448"/>
    <w:rsid w:val="00471594"/>
    <w:rsid w:val="00472D7C"/>
    <w:rsid w:val="00476BD0"/>
    <w:rsid w:val="00481C6D"/>
    <w:rsid w:val="0048340E"/>
    <w:rsid w:val="0048469B"/>
    <w:rsid w:val="004853EB"/>
    <w:rsid w:val="00491B82"/>
    <w:rsid w:val="00494EB0"/>
    <w:rsid w:val="004978EB"/>
    <w:rsid w:val="004A0484"/>
    <w:rsid w:val="004A56E9"/>
    <w:rsid w:val="004A61D8"/>
    <w:rsid w:val="004B1CB5"/>
    <w:rsid w:val="004B209D"/>
    <w:rsid w:val="004B28CB"/>
    <w:rsid w:val="004C45A1"/>
    <w:rsid w:val="004C6CA0"/>
    <w:rsid w:val="004C732A"/>
    <w:rsid w:val="004D0EC1"/>
    <w:rsid w:val="004D2147"/>
    <w:rsid w:val="004D4FB9"/>
    <w:rsid w:val="004D5B1B"/>
    <w:rsid w:val="004D60E7"/>
    <w:rsid w:val="004D619E"/>
    <w:rsid w:val="004E2D2F"/>
    <w:rsid w:val="004F10A2"/>
    <w:rsid w:val="004F263A"/>
    <w:rsid w:val="004F2AB9"/>
    <w:rsid w:val="00505595"/>
    <w:rsid w:val="005072EB"/>
    <w:rsid w:val="00510917"/>
    <w:rsid w:val="005114F5"/>
    <w:rsid w:val="00511773"/>
    <w:rsid w:val="005174E1"/>
    <w:rsid w:val="00521040"/>
    <w:rsid w:val="005251E9"/>
    <w:rsid w:val="00530CD3"/>
    <w:rsid w:val="00530DEE"/>
    <w:rsid w:val="005348F0"/>
    <w:rsid w:val="00537347"/>
    <w:rsid w:val="005401FF"/>
    <w:rsid w:val="00542B6C"/>
    <w:rsid w:val="00543ADC"/>
    <w:rsid w:val="00544E38"/>
    <w:rsid w:val="00546AB8"/>
    <w:rsid w:val="005508FB"/>
    <w:rsid w:val="00554820"/>
    <w:rsid w:val="00554D4F"/>
    <w:rsid w:val="0055539D"/>
    <w:rsid w:val="00556603"/>
    <w:rsid w:val="005570A1"/>
    <w:rsid w:val="005612BC"/>
    <w:rsid w:val="00561499"/>
    <w:rsid w:val="00563595"/>
    <w:rsid w:val="00570804"/>
    <w:rsid w:val="0057634D"/>
    <w:rsid w:val="0058152E"/>
    <w:rsid w:val="00581A08"/>
    <w:rsid w:val="00582E82"/>
    <w:rsid w:val="00584CB7"/>
    <w:rsid w:val="00586E47"/>
    <w:rsid w:val="00590658"/>
    <w:rsid w:val="00592D96"/>
    <w:rsid w:val="00592E63"/>
    <w:rsid w:val="00594499"/>
    <w:rsid w:val="005A3CC6"/>
    <w:rsid w:val="005A3DC6"/>
    <w:rsid w:val="005A4640"/>
    <w:rsid w:val="005A5DEA"/>
    <w:rsid w:val="005A6D3C"/>
    <w:rsid w:val="005A7710"/>
    <w:rsid w:val="005B0345"/>
    <w:rsid w:val="005B0A06"/>
    <w:rsid w:val="005B1904"/>
    <w:rsid w:val="005B58D1"/>
    <w:rsid w:val="005C1F16"/>
    <w:rsid w:val="005C7FB3"/>
    <w:rsid w:val="005E0871"/>
    <w:rsid w:val="005E134F"/>
    <w:rsid w:val="005E52BE"/>
    <w:rsid w:val="005F1FAA"/>
    <w:rsid w:val="005F40CA"/>
    <w:rsid w:val="005F6541"/>
    <w:rsid w:val="00600FCC"/>
    <w:rsid w:val="006019F1"/>
    <w:rsid w:val="00602170"/>
    <w:rsid w:val="00603143"/>
    <w:rsid w:val="00604E8B"/>
    <w:rsid w:val="00612115"/>
    <w:rsid w:val="00621B37"/>
    <w:rsid w:val="00623BCF"/>
    <w:rsid w:val="00624F62"/>
    <w:rsid w:val="00627332"/>
    <w:rsid w:val="00635EB6"/>
    <w:rsid w:val="0064185F"/>
    <w:rsid w:val="00643ECE"/>
    <w:rsid w:val="0065104C"/>
    <w:rsid w:val="0065151D"/>
    <w:rsid w:val="00653151"/>
    <w:rsid w:val="006615A0"/>
    <w:rsid w:val="00662376"/>
    <w:rsid w:val="00662D3D"/>
    <w:rsid w:val="00663889"/>
    <w:rsid w:val="00666BF7"/>
    <w:rsid w:val="006746EA"/>
    <w:rsid w:val="00675470"/>
    <w:rsid w:val="00676EE2"/>
    <w:rsid w:val="0068657D"/>
    <w:rsid w:val="006A40CD"/>
    <w:rsid w:val="006B1CB0"/>
    <w:rsid w:val="006B2A98"/>
    <w:rsid w:val="006B6F02"/>
    <w:rsid w:val="006C20FE"/>
    <w:rsid w:val="006C21C5"/>
    <w:rsid w:val="006C2C7C"/>
    <w:rsid w:val="006C3BC9"/>
    <w:rsid w:val="006C40A3"/>
    <w:rsid w:val="006C4FD1"/>
    <w:rsid w:val="006C731F"/>
    <w:rsid w:val="006D0CB8"/>
    <w:rsid w:val="006D2A75"/>
    <w:rsid w:val="006D49F5"/>
    <w:rsid w:val="006D64FD"/>
    <w:rsid w:val="006E06BE"/>
    <w:rsid w:val="006E14A4"/>
    <w:rsid w:val="006E3DA0"/>
    <w:rsid w:val="006E7854"/>
    <w:rsid w:val="006F142E"/>
    <w:rsid w:val="006F19FB"/>
    <w:rsid w:val="006F36EB"/>
    <w:rsid w:val="006F49A7"/>
    <w:rsid w:val="006F4CDF"/>
    <w:rsid w:val="006F62F3"/>
    <w:rsid w:val="00706129"/>
    <w:rsid w:val="007071FC"/>
    <w:rsid w:val="00707B9C"/>
    <w:rsid w:val="00711AFF"/>
    <w:rsid w:val="007142F6"/>
    <w:rsid w:val="00714906"/>
    <w:rsid w:val="00717093"/>
    <w:rsid w:val="0072023C"/>
    <w:rsid w:val="0072050A"/>
    <w:rsid w:val="007220C2"/>
    <w:rsid w:val="00731388"/>
    <w:rsid w:val="00740672"/>
    <w:rsid w:val="00747CDF"/>
    <w:rsid w:val="00754158"/>
    <w:rsid w:val="007569F7"/>
    <w:rsid w:val="00756BF3"/>
    <w:rsid w:val="0075790D"/>
    <w:rsid w:val="007617CD"/>
    <w:rsid w:val="0076181E"/>
    <w:rsid w:val="00762119"/>
    <w:rsid w:val="00770CD6"/>
    <w:rsid w:val="00772BD9"/>
    <w:rsid w:val="00776F4B"/>
    <w:rsid w:val="00777D52"/>
    <w:rsid w:val="00777E2B"/>
    <w:rsid w:val="007833A0"/>
    <w:rsid w:val="00783F0E"/>
    <w:rsid w:val="0078671F"/>
    <w:rsid w:val="00787B66"/>
    <w:rsid w:val="00793C1D"/>
    <w:rsid w:val="007966E0"/>
    <w:rsid w:val="007968A8"/>
    <w:rsid w:val="007A4B49"/>
    <w:rsid w:val="007A5D16"/>
    <w:rsid w:val="007A7712"/>
    <w:rsid w:val="007B0A3E"/>
    <w:rsid w:val="007B31C1"/>
    <w:rsid w:val="007B36F6"/>
    <w:rsid w:val="007B4CF5"/>
    <w:rsid w:val="007B6E19"/>
    <w:rsid w:val="007C1A6C"/>
    <w:rsid w:val="007C4A5C"/>
    <w:rsid w:val="007C6C5C"/>
    <w:rsid w:val="007D39A4"/>
    <w:rsid w:val="007D6169"/>
    <w:rsid w:val="007D7D4A"/>
    <w:rsid w:val="007E5A9A"/>
    <w:rsid w:val="007E63CB"/>
    <w:rsid w:val="007E703A"/>
    <w:rsid w:val="007F4711"/>
    <w:rsid w:val="007F6B4F"/>
    <w:rsid w:val="008019D6"/>
    <w:rsid w:val="008054D4"/>
    <w:rsid w:val="00806232"/>
    <w:rsid w:val="008079E6"/>
    <w:rsid w:val="00810EBC"/>
    <w:rsid w:val="0081750E"/>
    <w:rsid w:val="00817BE3"/>
    <w:rsid w:val="008212A4"/>
    <w:rsid w:val="00824690"/>
    <w:rsid w:val="00827C42"/>
    <w:rsid w:val="008303CD"/>
    <w:rsid w:val="008335A7"/>
    <w:rsid w:val="00837A9C"/>
    <w:rsid w:val="00841AD4"/>
    <w:rsid w:val="00841D51"/>
    <w:rsid w:val="0084564C"/>
    <w:rsid w:val="008462EB"/>
    <w:rsid w:val="008470D7"/>
    <w:rsid w:val="00847B0A"/>
    <w:rsid w:val="00853945"/>
    <w:rsid w:val="00854989"/>
    <w:rsid w:val="00857566"/>
    <w:rsid w:val="008578E5"/>
    <w:rsid w:val="00857CFB"/>
    <w:rsid w:val="00861442"/>
    <w:rsid w:val="008629EE"/>
    <w:rsid w:val="0086748F"/>
    <w:rsid w:val="00873525"/>
    <w:rsid w:val="00873B25"/>
    <w:rsid w:val="00873C73"/>
    <w:rsid w:val="00876E89"/>
    <w:rsid w:val="00886953"/>
    <w:rsid w:val="008870EC"/>
    <w:rsid w:val="008951AD"/>
    <w:rsid w:val="008A33FF"/>
    <w:rsid w:val="008A5FC4"/>
    <w:rsid w:val="008A7D9B"/>
    <w:rsid w:val="008B048C"/>
    <w:rsid w:val="008B323D"/>
    <w:rsid w:val="008B6D16"/>
    <w:rsid w:val="008B7A8C"/>
    <w:rsid w:val="008C2A29"/>
    <w:rsid w:val="008C3CBA"/>
    <w:rsid w:val="008C6000"/>
    <w:rsid w:val="008C6F3F"/>
    <w:rsid w:val="008C7704"/>
    <w:rsid w:val="008D25F9"/>
    <w:rsid w:val="008D4DAB"/>
    <w:rsid w:val="008D52C6"/>
    <w:rsid w:val="008E3B81"/>
    <w:rsid w:val="008E3FD4"/>
    <w:rsid w:val="008E598E"/>
    <w:rsid w:val="008E7F3C"/>
    <w:rsid w:val="008F7CB1"/>
    <w:rsid w:val="00902006"/>
    <w:rsid w:val="00913BCF"/>
    <w:rsid w:val="009204BE"/>
    <w:rsid w:val="0092404F"/>
    <w:rsid w:val="0092554E"/>
    <w:rsid w:val="00931C4C"/>
    <w:rsid w:val="00933F62"/>
    <w:rsid w:val="0093629E"/>
    <w:rsid w:val="00944334"/>
    <w:rsid w:val="009459D6"/>
    <w:rsid w:val="009463D8"/>
    <w:rsid w:val="009466CD"/>
    <w:rsid w:val="00953E14"/>
    <w:rsid w:val="00961226"/>
    <w:rsid w:val="00975BC8"/>
    <w:rsid w:val="00977532"/>
    <w:rsid w:val="00977671"/>
    <w:rsid w:val="00977DFC"/>
    <w:rsid w:val="00980D4D"/>
    <w:rsid w:val="00982BAB"/>
    <w:rsid w:val="00982C10"/>
    <w:rsid w:val="00982E9E"/>
    <w:rsid w:val="00984F09"/>
    <w:rsid w:val="009A390C"/>
    <w:rsid w:val="009B26E3"/>
    <w:rsid w:val="009B3DF3"/>
    <w:rsid w:val="009B5982"/>
    <w:rsid w:val="009C3201"/>
    <w:rsid w:val="009C4AA5"/>
    <w:rsid w:val="009C63F1"/>
    <w:rsid w:val="009C7080"/>
    <w:rsid w:val="009D345B"/>
    <w:rsid w:val="009D3AD1"/>
    <w:rsid w:val="009D3F12"/>
    <w:rsid w:val="009D5D00"/>
    <w:rsid w:val="009E06DB"/>
    <w:rsid w:val="009F0817"/>
    <w:rsid w:val="009F1BE8"/>
    <w:rsid w:val="009F559F"/>
    <w:rsid w:val="00A00B9F"/>
    <w:rsid w:val="00A05616"/>
    <w:rsid w:val="00A10F48"/>
    <w:rsid w:val="00A21901"/>
    <w:rsid w:val="00A22AEF"/>
    <w:rsid w:val="00A23457"/>
    <w:rsid w:val="00A25AB2"/>
    <w:rsid w:val="00A3102D"/>
    <w:rsid w:val="00A35A5B"/>
    <w:rsid w:val="00A40CC3"/>
    <w:rsid w:val="00A41271"/>
    <w:rsid w:val="00A41B6A"/>
    <w:rsid w:val="00A41E9C"/>
    <w:rsid w:val="00A62CE9"/>
    <w:rsid w:val="00A64D10"/>
    <w:rsid w:val="00A66F04"/>
    <w:rsid w:val="00A714B8"/>
    <w:rsid w:val="00A77E74"/>
    <w:rsid w:val="00A80F58"/>
    <w:rsid w:val="00A8140C"/>
    <w:rsid w:val="00A8232C"/>
    <w:rsid w:val="00A82FE2"/>
    <w:rsid w:val="00A901BE"/>
    <w:rsid w:val="00A90735"/>
    <w:rsid w:val="00A915D3"/>
    <w:rsid w:val="00AA0046"/>
    <w:rsid w:val="00AA1393"/>
    <w:rsid w:val="00AA297F"/>
    <w:rsid w:val="00AA2B66"/>
    <w:rsid w:val="00AA5BC2"/>
    <w:rsid w:val="00AB05C3"/>
    <w:rsid w:val="00AB3709"/>
    <w:rsid w:val="00AB494F"/>
    <w:rsid w:val="00AB5066"/>
    <w:rsid w:val="00AB6101"/>
    <w:rsid w:val="00AB7C43"/>
    <w:rsid w:val="00AB7DC9"/>
    <w:rsid w:val="00AC604E"/>
    <w:rsid w:val="00AC628B"/>
    <w:rsid w:val="00AC6BAD"/>
    <w:rsid w:val="00AC7996"/>
    <w:rsid w:val="00AD027C"/>
    <w:rsid w:val="00AD4415"/>
    <w:rsid w:val="00AE01AA"/>
    <w:rsid w:val="00AE0978"/>
    <w:rsid w:val="00AE2D8F"/>
    <w:rsid w:val="00AE389A"/>
    <w:rsid w:val="00AE50E1"/>
    <w:rsid w:val="00AE5AAC"/>
    <w:rsid w:val="00AF087E"/>
    <w:rsid w:val="00AF573C"/>
    <w:rsid w:val="00AF5923"/>
    <w:rsid w:val="00B026E0"/>
    <w:rsid w:val="00B032C4"/>
    <w:rsid w:val="00B06726"/>
    <w:rsid w:val="00B07A89"/>
    <w:rsid w:val="00B1075F"/>
    <w:rsid w:val="00B11798"/>
    <w:rsid w:val="00B12675"/>
    <w:rsid w:val="00B20FF0"/>
    <w:rsid w:val="00B2118F"/>
    <w:rsid w:val="00B21785"/>
    <w:rsid w:val="00B23032"/>
    <w:rsid w:val="00B24DA1"/>
    <w:rsid w:val="00B27C5D"/>
    <w:rsid w:val="00B3108B"/>
    <w:rsid w:val="00B326CE"/>
    <w:rsid w:val="00B3414B"/>
    <w:rsid w:val="00B3767E"/>
    <w:rsid w:val="00B40926"/>
    <w:rsid w:val="00B41525"/>
    <w:rsid w:val="00B43D26"/>
    <w:rsid w:val="00B44847"/>
    <w:rsid w:val="00B46CC2"/>
    <w:rsid w:val="00B576BA"/>
    <w:rsid w:val="00B5770C"/>
    <w:rsid w:val="00B605EA"/>
    <w:rsid w:val="00B6255D"/>
    <w:rsid w:val="00B70AE5"/>
    <w:rsid w:val="00B72CFF"/>
    <w:rsid w:val="00B76563"/>
    <w:rsid w:val="00B8326B"/>
    <w:rsid w:val="00B8710F"/>
    <w:rsid w:val="00B87CCD"/>
    <w:rsid w:val="00B91255"/>
    <w:rsid w:val="00B914BE"/>
    <w:rsid w:val="00B92DB8"/>
    <w:rsid w:val="00B944C0"/>
    <w:rsid w:val="00BA6D9A"/>
    <w:rsid w:val="00BB2B68"/>
    <w:rsid w:val="00BB326A"/>
    <w:rsid w:val="00BB3974"/>
    <w:rsid w:val="00BB4AF8"/>
    <w:rsid w:val="00BB6E3D"/>
    <w:rsid w:val="00BC0A5C"/>
    <w:rsid w:val="00BC4D77"/>
    <w:rsid w:val="00BC76F6"/>
    <w:rsid w:val="00BD1299"/>
    <w:rsid w:val="00BD51C0"/>
    <w:rsid w:val="00BD5488"/>
    <w:rsid w:val="00BD5D34"/>
    <w:rsid w:val="00BE1733"/>
    <w:rsid w:val="00BE1C67"/>
    <w:rsid w:val="00BE60FA"/>
    <w:rsid w:val="00BE6479"/>
    <w:rsid w:val="00BE7161"/>
    <w:rsid w:val="00BF68AF"/>
    <w:rsid w:val="00BF700D"/>
    <w:rsid w:val="00C012BA"/>
    <w:rsid w:val="00C04325"/>
    <w:rsid w:val="00C0481D"/>
    <w:rsid w:val="00C05B75"/>
    <w:rsid w:val="00C05E29"/>
    <w:rsid w:val="00C102E4"/>
    <w:rsid w:val="00C145F3"/>
    <w:rsid w:val="00C16BFB"/>
    <w:rsid w:val="00C17E6C"/>
    <w:rsid w:val="00C21073"/>
    <w:rsid w:val="00C210DD"/>
    <w:rsid w:val="00C252F1"/>
    <w:rsid w:val="00C25BDA"/>
    <w:rsid w:val="00C31A05"/>
    <w:rsid w:val="00C32386"/>
    <w:rsid w:val="00C34639"/>
    <w:rsid w:val="00C34CFD"/>
    <w:rsid w:val="00C4536A"/>
    <w:rsid w:val="00C469B8"/>
    <w:rsid w:val="00C55B4C"/>
    <w:rsid w:val="00C62A29"/>
    <w:rsid w:val="00C62B8A"/>
    <w:rsid w:val="00C6679E"/>
    <w:rsid w:val="00C67244"/>
    <w:rsid w:val="00C73325"/>
    <w:rsid w:val="00C75533"/>
    <w:rsid w:val="00C75827"/>
    <w:rsid w:val="00C7610E"/>
    <w:rsid w:val="00C84AE5"/>
    <w:rsid w:val="00C8565E"/>
    <w:rsid w:val="00C859F6"/>
    <w:rsid w:val="00C911F1"/>
    <w:rsid w:val="00C93076"/>
    <w:rsid w:val="00C963FA"/>
    <w:rsid w:val="00C9790C"/>
    <w:rsid w:val="00CA758A"/>
    <w:rsid w:val="00CB034A"/>
    <w:rsid w:val="00CB295A"/>
    <w:rsid w:val="00CB53FC"/>
    <w:rsid w:val="00CB625A"/>
    <w:rsid w:val="00CB6870"/>
    <w:rsid w:val="00CB6AA2"/>
    <w:rsid w:val="00CB6B1E"/>
    <w:rsid w:val="00CC1B87"/>
    <w:rsid w:val="00CC5DF0"/>
    <w:rsid w:val="00CD0152"/>
    <w:rsid w:val="00CD09AD"/>
    <w:rsid w:val="00CD27EE"/>
    <w:rsid w:val="00CD3974"/>
    <w:rsid w:val="00CD64BB"/>
    <w:rsid w:val="00CE2D1E"/>
    <w:rsid w:val="00CE3908"/>
    <w:rsid w:val="00CE3C0B"/>
    <w:rsid w:val="00CE4E60"/>
    <w:rsid w:val="00CE6F03"/>
    <w:rsid w:val="00CF2865"/>
    <w:rsid w:val="00CF49CF"/>
    <w:rsid w:val="00CF60A9"/>
    <w:rsid w:val="00CF7C31"/>
    <w:rsid w:val="00D04E71"/>
    <w:rsid w:val="00D05808"/>
    <w:rsid w:val="00D10CED"/>
    <w:rsid w:val="00D11F9E"/>
    <w:rsid w:val="00D12B7B"/>
    <w:rsid w:val="00D13AE2"/>
    <w:rsid w:val="00D153B3"/>
    <w:rsid w:val="00D1698E"/>
    <w:rsid w:val="00D22BB1"/>
    <w:rsid w:val="00D233AE"/>
    <w:rsid w:val="00D24720"/>
    <w:rsid w:val="00D3205C"/>
    <w:rsid w:val="00D3333A"/>
    <w:rsid w:val="00D3354D"/>
    <w:rsid w:val="00D33913"/>
    <w:rsid w:val="00D33DFD"/>
    <w:rsid w:val="00D348B0"/>
    <w:rsid w:val="00D3760D"/>
    <w:rsid w:val="00D42ECA"/>
    <w:rsid w:val="00D43054"/>
    <w:rsid w:val="00D457A4"/>
    <w:rsid w:val="00D468F0"/>
    <w:rsid w:val="00D46AA4"/>
    <w:rsid w:val="00D52CBB"/>
    <w:rsid w:val="00D561EE"/>
    <w:rsid w:val="00D573A4"/>
    <w:rsid w:val="00D60624"/>
    <w:rsid w:val="00D6112B"/>
    <w:rsid w:val="00D611E5"/>
    <w:rsid w:val="00D63E81"/>
    <w:rsid w:val="00D6423A"/>
    <w:rsid w:val="00D71481"/>
    <w:rsid w:val="00D76E8B"/>
    <w:rsid w:val="00D779DE"/>
    <w:rsid w:val="00D822E7"/>
    <w:rsid w:val="00D82C46"/>
    <w:rsid w:val="00D83530"/>
    <w:rsid w:val="00D83B59"/>
    <w:rsid w:val="00D849D6"/>
    <w:rsid w:val="00D85381"/>
    <w:rsid w:val="00D9039C"/>
    <w:rsid w:val="00D92CF6"/>
    <w:rsid w:val="00D94334"/>
    <w:rsid w:val="00DA0C26"/>
    <w:rsid w:val="00DA10D6"/>
    <w:rsid w:val="00DA25C1"/>
    <w:rsid w:val="00DA3E7A"/>
    <w:rsid w:val="00DA4CAF"/>
    <w:rsid w:val="00DB3244"/>
    <w:rsid w:val="00DB5416"/>
    <w:rsid w:val="00DB682A"/>
    <w:rsid w:val="00DC2280"/>
    <w:rsid w:val="00DC2B05"/>
    <w:rsid w:val="00DC2E91"/>
    <w:rsid w:val="00DC759D"/>
    <w:rsid w:val="00DD072F"/>
    <w:rsid w:val="00DD1C12"/>
    <w:rsid w:val="00DE4A47"/>
    <w:rsid w:val="00DF09F8"/>
    <w:rsid w:val="00DF0B2B"/>
    <w:rsid w:val="00DF377B"/>
    <w:rsid w:val="00DF6524"/>
    <w:rsid w:val="00DF6EF1"/>
    <w:rsid w:val="00E004F3"/>
    <w:rsid w:val="00E00F7A"/>
    <w:rsid w:val="00E01687"/>
    <w:rsid w:val="00E01E4F"/>
    <w:rsid w:val="00E04832"/>
    <w:rsid w:val="00E048C9"/>
    <w:rsid w:val="00E0588B"/>
    <w:rsid w:val="00E11729"/>
    <w:rsid w:val="00E12D06"/>
    <w:rsid w:val="00E24610"/>
    <w:rsid w:val="00E30FD4"/>
    <w:rsid w:val="00E31DCE"/>
    <w:rsid w:val="00E322D4"/>
    <w:rsid w:val="00E352D7"/>
    <w:rsid w:val="00E361E2"/>
    <w:rsid w:val="00E3772D"/>
    <w:rsid w:val="00E41DA9"/>
    <w:rsid w:val="00E41FEF"/>
    <w:rsid w:val="00E460BE"/>
    <w:rsid w:val="00E535D0"/>
    <w:rsid w:val="00E54216"/>
    <w:rsid w:val="00E5513B"/>
    <w:rsid w:val="00E5608C"/>
    <w:rsid w:val="00E5681E"/>
    <w:rsid w:val="00E56E82"/>
    <w:rsid w:val="00E63B4F"/>
    <w:rsid w:val="00E70758"/>
    <w:rsid w:val="00E72805"/>
    <w:rsid w:val="00E7468E"/>
    <w:rsid w:val="00E766FC"/>
    <w:rsid w:val="00E95232"/>
    <w:rsid w:val="00E97B78"/>
    <w:rsid w:val="00EA0713"/>
    <w:rsid w:val="00EA2404"/>
    <w:rsid w:val="00EA66D2"/>
    <w:rsid w:val="00EB2FDF"/>
    <w:rsid w:val="00EB4044"/>
    <w:rsid w:val="00EB5431"/>
    <w:rsid w:val="00EB5748"/>
    <w:rsid w:val="00EC0AE5"/>
    <w:rsid w:val="00EC4660"/>
    <w:rsid w:val="00EC5C82"/>
    <w:rsid w:val="00EC7939"/>
    <w:rsid w:val="00ED0C8C"/>
    <w:rsid w:val="00ED2604"/>
    <w:rsid w:val="00ED2C64"/>
    <w:rsid w:val="00ED6FAE"/>
    <w:rsid w:val="00ED7176"/>
    <w:rsid w:val="00EE0CCE"/>
    <w:rsid w:val="00EE11B2"/>
    <w:rsid w:val="00EE5282"/>
    <w:rsid w:val="00EE569F"/>
    <w:rsid w:val="00EF0D81"/>
    <w:rsid w:val="00EF1687"/>
    <w:rsid w:val="00EF26F5"/>
    <w:rsid w:val="00EF2A5D"/>
    <w:rsid w:val="00EF393B"/>
    <w:rsid w:val="00EF3B15"/>
    <w:rsid w:val="00EF42A7"/>
    <w:rsid w:val="00EF53AA"/>
    <w:rsid w:val="00EF66F3"/>
    <w:rsid w:val="00EF68B5"/>
    <w:rsid w:val="00F00EDB"/>
    <w:rsid w:val="00F055F8"/>
    <w:rsid w:val="00F10438"/>
    <w:rsid w:val="00F11F33"/>
    <w:rsid w:val="00F135AE"/>
    <w:rsid w:val="00F157A1"/>
    <w:rsid w:val="00F15D42"/>
    <w:rsid w:val="00F22E24"/>
    <w:rsid w:val="00F234EB"/>
    <w:rsid w:val="00F23640"/>
    <w:rsid w:val="00F24B12"/>
    <w:rsid w:val="00F2598A"/>
    <w:rsid w:val="00F25EC9"/>
    <w:rsid w:val="00F30935"/>
    <w:rsid w:val="00F30CD7"/>
    <w:rsid w:val="00F31333"/>
    <w:rsid w:val="00F31456"/>
    <w:rsid w:val="00F31B89"/>
    <w:rsid w:val="00F373B9"/>
    <w:rsid w:val="00F41032"/>
    <w:rsid w:val="00F41916"/>
    <w:rsid w:val="00F42531"/>
    <w:rsid w:val="00F43273"/>
    <w:rsid w:val="00F47866"/>
    <w:rsid w:val="00F47D16"/>
    <w:rsid w:val="00F519EA"/>
    <w:rsid w:val="00F5377E"/>
    <w:rsid w:val="00F556D2"/>
    <w:rsid w:val="00F6029A"/>
    <w:rsid w:val="00F65615"/>
    <w:rsid w:val="00F66210"/>
    <w:rsid w:val="00F73EB5"/>
    <w:rsid w:val="00F823F0"/>
    <w:rsid w:val="00F83350"/>
    <w:rsid w:val="00F84D66"/>
    <w:rsid w:val="00F86AF2"/>
    <w:rsid w:val="00F87DAD"/>
    <w:rsid w:val="00F90037"/>
    <w:rsid w:val="00F9021E"/>
    <w:rsid w:val="00F92A5C"/>
    <w:rsid w:val="00F93FC6"/>
    <w:rsid w:val="00FA025D"/>
    <w:rsid w:val="00FA03E6"/>
    <w:rsid w:val="00FA0E8D"/>
    <w:rsid w:val="00FA1212"/>
    <w:rsid w:val="00FA20DF"/>
    <w:rsid w:val="00FA7333"/>
    <w:rsid w:val="00FA7C6A"/>
    <w:rsid w:val="00FB0D33"/>
    <w:rsid w:val="00FB1467"/>
    <w:rsid w:val="00FB32DC"/>
    <w:rsid w:val="00FB39FF"/>
    <w:rsid w:val="00FB4B7D"/>
    <w:rsid w:val="00FB5363"/>
    <w:rsid w:val="00FB55AB"/>
    <w:rsid w:val="00FC0A21"/>
    <w:rsid w:val="00FC2055"/>
    <w:rsid w:val="00FC2F7E"/>
    <w:rsid w:val="00FC61A7"/>
    <w:rsid w:val="00FD0046"/>
    <w:rsid w:val="00FD1386"/>
    <w:rsid w:val="00FD1800"/>
    <w:rsid w:val="00FD649D"/>
    <w:rsid w:val="00FD7E65"/>
    <w:rsid w:val="00FF0A07"/>
    <w:rsid w:val="00FF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1D3B9"/>
  <w14:defaultImageDpi w14:val="0"/>
  <w15:docId w15:val="{02ACC1EE-302B-4074-8514-5871BDDF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overflowPunct w:val="0"/>
      <w:spacing w:after="0" w:line="240" w:lineRule="auto"/>
      <w:textAlignment w:val="baseline"/>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3587D"/>
    <w:pPr>
      <w:widowControl/>
      <w:kinsoku/>
      <w:overflowPunct/>
      <w:spacing w:before="100" w:beforeAutospacing="1" w:after="100" w:afterAutospacing="1"/>
      <w:textAlignment w:val="auto"/>
    </w:pPr>
    <w:rPr>
      <w:color w:val="000000"/>
    </w:rPr>
  </w:style>
  <w:style w:type="character" w:styleId="Hyperlink">
    <w:name w:val="Hyperlink"/>
    <w:basedOn w:val="DefaultParagraphFont"/>
    <w:uiPriority w:val="99"/>
    <w:rsid w:val="00A901BE"/>
    <w:rPr>
      <w:rFonts w:cs="Times New Roman"/>
      <w:color w:val="0000FF"/>
      <w:u w:val="single"/>
    </w:rPr>
  </w:style>
  <w:style w:type="table" w:styleId="TableGrid">
    <w:name w:val="Table Grid"/>
    <w:basedOn w:val="TableNormal"/>
    <w:uiPriority w:val="99"/>
    <w:rsid w:val="00984F09"/>
    <w:pPr>
      <w:widowControl w:val="0"/>
      <w:kinsoku w:val="0"/>
      <w:overflowPunct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984F09"/>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984F0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9982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622F37A499F4CBB24CC7FF804A261" ma:contentTypeVersion="20" ma:contentTypeDescription="Create a new document." ma:contentTypeScope="" ma:versionID="86566a2c9eb7e4e7ecd01d7d905bd1c3">
  <xsd:schema xmlns:xsd="http://www.w3.org/2001/XMLSchema" xmlns:xs="http://www.w3.org/2001/XMLSchema" xmlns:p="http://schemas.microsoft.com/office/2006/metadata/properties" xmlns:ns2="04f658fb-7b70-46eb-afdd-4b31c7d0f987" xmlns:ns3="6ee2711e-a768-4f87-a200-ce8c25a80bd4" targetNamespace="http://schemas.microsoft.com/office/2006/metadata/properties" ma:root="true" ma:fieldsID="68f8625fddb58fbe0366497d944f014a" ns2:_="" ns3:_="">
    <xsd:import namespace="04f658fb-7b70-46eb-afdd-4b31c7d0f987"/>
    <xsd:import namespace="6ee2711e-a768-4f87-a200-ce8c25a80b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58fb-7b70-46eb-afdd-4b31c7d0f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2711e-a768-4f87-a200-ce8c25a80b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a4823-9f6e-406b-9907-842f62b202b7}" ma:internalName="TaxCatchAll" ma:showField="CatchAllData" ma:web="6ee2711e-a768-4f87-a200-ce8c25a80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30A05-9924-4A65-875B-98C09BDDCC42}"/>
</file>

<file path=customXml/itemProps2.xml><?xml version="1.0" encoding="utf-8"?>
<ds:datastoreItem xmlns:ds="http://schemas.openxmlformats.org/officeDocument/2006/customXml" ds:itemID="{8E6BA047-7A15-4698-AA71-B8061C358839}"/>
</file>

<file path=docProps/app.xml><?xml version="1.0" encoding="utf-8"?>
<Properties xmlns="http://schemas.openxmlformats.org/officeDocument/2006/extended-properties" xmlns:vt="http://schemas.openxmlformats.org/officeDocument/2006/docPropsVTypes">
  <Template>Normal</Template>
  <TotalTime>0</TotalTime>
  <Pages>14</Pages>
  <Words>2666</Words>
  <Characters>15202</Characters>
  <Application>Microsoft Office Word</Application>
  <DocSecurity>0</DocSecurity>
  <Lines>126</Lines>
  <Paragraphs>35</Paragraphs>
  <ScaleCrop>false</ScaleCrop>
  <Company>HOME</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Unni</dc:creator>
  <cp:keywords/>
  <dc:description/>
  <cp:lastModifiedBy>Kenneth Linfield</cp:lastModifiedBy>
  <cp:revision>2</cp:revision>
  <dcterms:created xsi:type="dcterms:W3CDTF">2024-07-22T16:26:00Z</dcterms:created>
  <dcterms:modified xsi:type="dcterms:W3CDTF">2024-07-22T16:26:00Z</dcterms:modified>
</cp:coreProperties>
</file>