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46B7" w14:textId="77777777" w:rsidR="00A7087D" w:rsidRPr="00A7087D" w:rsidRDefault="00A7087D" w:rsidP="00A7087D">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99385"/>
      <w:r w:rsidRPr="00A7087D">
        <w:rPr>
          <w:rFonts w:ascii="Cambria" w:eastAsia="Times New Roman" w:hAnsi="Cambria" w:cs="Times New Roman"/>
          <w:b/>
          <w:bCs/>
          <w:color w:val="365F91"/>
          <w:kern w:val="0"/>
          <w:sz w:val="28"/>
          <w:szCs w:val="28"/>
          <w14:ligatures w14:val="none"/>
        </w:rPr>
        <w:t>11 Child Nutrition Programs</w:t>
      </w:r>
      <w:bookmarkEnd w:id="0"/>
    </w:p>
    <w:p w14:paraId="2B38A316" w14:textId="77777777" w:rsidR="00A7087D" w:rsidRPr="00A7087D" w:rsidRDefault="00A7087D" w:rsidP="00A7087D">
      <w:pPr>
        <w:keepNext/>
        <w:keepLines/>
        <w:spacing w:before="200" w:after="0" w:line="480" w:lineRule="auto"/>
        <w:outlineLvl w:val="1"/>
        <w:rPr>
          <w:rFonts w:ascii="Cambria" w:eastAsia="Times New Roman" w:hAnsi="Cambria" w:cs="Times New Roman"/>
          <w:b/>
          <w:bCs/>
          <w:color w:val="4F81BD"/>
          <w:kern w:val="0"/>
          <w:sz w:val="26"/>
          <w:szCs w:val="26"/>
          <w14:ligatures w14:val="none"/>
        </w:rPr>
      </w:pPr>
      <w:bookmarkStart w:id="1" w:name="_Toc502499386"/>
      <w:r w:rsidRPr="00A7087D">
        <w:rPr>
          <w:rFonts w:ascii="Cambria" w:eastAsia="Times New Roman" w:hAnsi="Cambria" w:cs="Times New Roman"/>
          <w:b/>
          <w:bCs/>
          <w:color w:val="4F81BD"/>
          <w:kern w:val="0"/>
          <w:sz w:val="26"/>
          <w:szCs w:val="26"/>
          <w14:ligatures w14:val="none"/>
        </w:rPr>
        <w:t>Let’s Make a Deal: Nutrition Assistance Programs (Episode Two)</w:t>
      </w:r>
      <w:bookmarkEnd w:id="1"/>
    </w:p>
    <w:p w14:paraId="36D55D35" w14:textId="77777777" w:rsidR="00A7087D" w:rsidRPr="00A7087D" w:rsidRDefault="00A7087D" w:rsidP="00A7087D">
      <w:pPr>
        <w:spacing w:after="0" w:line="480" w:lineRule="auto"/>
        <w:rPr>
          <w:rFonts w:ascii="Times New Roman" w:eastAsia="Times New Roman" w:hAnsi="Times New Roman" w:cs="Times New Roman"/>
          <w:b/>
          <w:kern w:val="0"/>
          <w:sz w:val="24"/>
          <w:szCs w:val="24"/>
          <w14:ligatures w14:val="none"/>
        </w:rPr>
      </w:pPr>
      <w:r w:rsidRPr="00A7087D">
        <w:rPr>
          <w:rFonts w:ascii="Times New Roman" w:eastAsia="Times New Roman" w:hAnsi="Times New Roman" w:cs="Times New Roman"/>
          <w:b/>
          <w:kern w:val="0"/>
          <w:sz w:val="24"/>
          <w:szCs w:val="24"/>
          <w14:ligatures w14:val="none"/>
        </w:rPr>
        <w:t>Overview</w:t>
      </w:r>
    </w:p>
    <w:p w14:paraId="32658868" w14:textId="77777777" w:rsidR="00A7087D" w:rsidRPr="00A7087D" w:rsidRDefault="00A7087D" w:rsidP="00A7087D">
      <w:pPr>
        <w:spacing w:after="0" w:line="240" w:lineRule="auto"/>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If students and instructor liked the previous role-playing exercise, “Let’s Make a Deal,” here is a second episode, with a focus on nutrition assistance programs. Small groups of students adopt the role of trade associations and public interest groups that are influential in U.S. food policy. For a series of six policy decisions about nutrition assistance programs, they decide their group’s position and prepare arguments in favor of it. They negotiate with other groups for political support, in advance of the final votes.</w:t>
      </w:r>
    </w:p>
    <w:p w14:paraId="7C2EC290" w14:textId="77777777" w:rsidR="00A7087D" w:rsidRPr="00A7087D" w:rsidRDefault="00A7087D" w:rsidP="00A7087D">
      <w:pPr>
        <w:tabs>
          <w:tab w:val="left" w:pos="7384"/>
        </w:tabs>
        <w:spacing w:after="0" w:line="240" w:lineRule="auto"/>
        <w:rPr>
          <w:rFonts w:ascii="Times New Roman" w:eastAsia="Times New Roman" w:hAnsi="Times New Roman" w:cs="Times New Roman"/>
          <w:b/>
          <w:kern w:val="0"/>
          <w:sz w:val="24"/>
          <w:szCs w:val="24"/>
          <w14:ligatures w14:val="none"/>
        </w:rPr>
      </w:pPr>
      <w:r w:rsidRPr="00A7087D">
        <w:rPr>
          <w:rFonts w:ascii="Times New Roman" w:eastAsia="Times New Roman" w:hAnsi="Times New Roman" w:cs="Times New Roman"/>
          <w:b/>
          <w:kern w:val="0"/>
          <w:sz w:val="24"/>
          <w:szCs w:val="24"/>
          <w14:ligatures w14:val="none"/>
        </w:rPr>
        <w:tab/>
      </w:r>
    </w:p>
    <w:p w14:paraId="28EB04C7" w14:textId="77777777" w:rsidR="00A7087D" w:rsidRPr="00A7087D" w:rsidRDefault="00A7087D" w:rsidP="00A7087D">
      <w:pPr>
        <w:spacing w:after="0" w:line="480" w:lineRule="auto"/>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Objectives</w:t>
      </w:r>
    </w:p>
    <w:p w14:paraId="5B230083" w14:textId="77777777" w:rsidR="00A7087D" w:rsidRPr="00A7087D" w:rsidRDefault="00A7087D" w:rsidP="00A7087D">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To learn about the trade associations and public interest groups that are influential in U.S. nutrition assistance policy.</w:t>
      </w:r>
    </w:p>
    <w:p w14:paraId="68D78099" w14:textId="77777777" w:rsidR="00A7087D" w:rsidRPr="00A7087D" w:rsidRDefault="00A7087D" w:rsidP="00A7087D">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To reflect on the power of organized advocacy coalitions and the political hazards of being dogmatic or uncompromising on behalf of a single cause.</w:t>
      </w:r>
    </w:p>
    <w:p w14:paraId="2E6D53B6" w14:textId="77777777" w:rsidR="00A7087D" w:rsidRPr="00A7087D" w:rsidRDefault="00A7087D" w:rsidP="00A7087D">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To nurture realism in strategizing political changes in U.S. nutrition assistance programs.</w:t>
      </w:r>
    </w:p>
    <w:p w14:paraId="333136B3" w14:textId="77777777" w:rsidR="00A7087D" w:rsidRPr="00A7087D" w:rsidRDefault="00A7087D" w:rsidP="00A7087D">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To have fun acting out a role.</w:t>
      </w:r>
    </w:p>
    <w:p w14:paraId="4A5B9BA7" w14:textId="77777777" w:rsidR="00A7087D" w:rsidRDefault="00A7087D" w:rsidP="00A7087D">
      <w:pPr>
        <w:spacing w:after="0" w:line="480" w:lineRule="auto"/>
        <w:rPr>
          <w:rFonts w:ascii="Times New Roman" w:eastAsia="Times New Roman" w:hAnsi="Times New Roman" w:cs="Times New Roman"/>
          <w:b/>
          <w:kern w:val="0"/>
          <w:sz w:val="24"/>
          <w:szCs w:val="24"/>
          <w14:ligatures w14:val="none"/>
        </w:rPr>
      </w:pPr>
    </w:p>
    <w:p w14:paraId="290361F7" w14:textId="044446C5" w:rsidR="00A7087D" w:rsidRPr="00A7087D" w:rsidRDefault="00A7087D" w:rsidP="00A7087D">
      <w:pPr>
        <w:spacing w:after="0" w:line="480" w:lineRule="auto"/>
        <w:rPr>
          <w:rFonts w:ascii="Times New Roman" w:eastAsia="Times New Roman" w:hAnsi="Times New Roman" w:cs="Times New Roman"/>
          <w:b/>
          <w:kern w:val="0"/>
          <w:sz w:val="24"/>
          <w:szCs w:val="24"/>
          <w14:ligatures w14:val="none"/>
        </w:rPr>
      </w:pPr>
      <w:r w:rsidRPr="00A7087D">
        <w:rPr>
          <w:rFonts w:ascii="Times New Roman" w:eastAsia="Times New Roman" w:hAnsi="Times New Roman" w:cs="Times New Roman"/>
          <w:b/>
          <w:kern w:val="0"/>
          <w:sz w:val="24"/>
          <w:szCs w:val="24"/>
          <w14:ligatures w14:val="none"/>
        </w:rPr>
        <w:t>Procedures</w:t>
      </w:r>
    </w:p>
    <w:p w14:paraId="01D20A64" w14:textId="77777777" w:rsidR="00A7087D" w:rsidRPr="00A7087D" w:rsidRDefault="00A7087D" w:rsidP="00A7087D">
      <w:pPr>
        <w:spacing w:after="0" w:line="480" w:lineRule="auto"/>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kern w:val="0"/>
          <w:sz w:val="24"/>
          <w:szCs w:val="24"/>
          <w14:ligatures w14:val="none"/>
        </w:rPr>
        <w:t>The activity has 6 stages.</w:t>
      </w:r>
    </w:p>
    <w:p w14:paraId="71E557A5"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 xml:space="preserve">Preparation. </w:t>
      </w:r>
      <w:r w:rsidRPr="00A7087D">
        <w:rPr>
          <w:rFonts w:ascii="Times New Roman" w:eastAsia="Times New Roman" w:hAnsi="Times New Roman" w:cs="Times New Roman"/>
          <w:kern w:val="0"/>
          <w:sz w:val="24"/>
          <w:szCs w:val="24"/>
          <w14:ligatures w14:val="none"/>
        </w:rPr>
        <w:t xml:space="preserve">5 minutes. There are roles for 12 groups. Assign students to 12 small groups of 1 to 5 students each. Distribute the </w:t>
      </w:r>
      <w:r w:rsidRPr="00A7087D">
        <w:rPr>
          <w:rFonts w:ascii="Times New Roman" w:eastAsia="Times New Roman" w:hAnsi="Times New Roman" w:cs="Times New Roman"/>
          <w:b/>
          <w:kern w:val="0"/>
          <w:sz w:val="24"/>
          <w:szCs w:val="24"/>
          <w14:ligatures w14:val="none"/>
        </w:rPr>
        <w:t>student handout</w:t>
      </w:r>
      <w:r w:rsidRPr="00A7087D">
        <w:rPr>
          <w:rFonts w:ascii="Times New Roman" w:eastAsia="Times New Roman" w:hAnsi="Times New Roman" w:cs="Times New Roman"/>
          <w:kern w:val="0"/>
          <w:sz w:val="24"/>
          <w:szCs w:val="24"/>
          <w14:ligatures w14:val="none"/>
        </w:rPr>
        <w:t xml:space="preserve"> (see below). Either distribute or present from the front of the class the voting power decisions from the previous exercise titled “A Power Mapping Discussion Exercise”. If your class did not carry out that exercise, use the default voting power decisions in Table 1 below. Make sure that each group understands how many votes it has.</w:t>
      </w:r>
    </w:p>
    <w:p w14:paraId="0660536D"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 xml:space="preserve">Review the issues. </w:t>
      </w:r>
      <w:r w:rsidRPr="00A7087D">
        <w:rPr>
          <w:rFonts w:ascii="Times New Roman" w:eastAsia="Times New Roman" w:hAnsi="Times New Roman" w:cs="Times New Roman"/>
          <w:kern w:val="0"/>
          <w:sz w:val="24"/>
          <w:szCs w:val="24"/>
          <w14:ligatures w14:val="none"/>
        </w:rPr>
        <w:t xml:space="preserve"> 5 minutes. In </w:t>
      </w:r>
      <w:proofErr w:type="gramStart"/>
      <w:r w:rsidRPr="00A7087D">
        <w:rPr>
          <w:rFonts w:ascii="Times New Roman" w:eastAsia="Times New Roman" w:hAnsi="Times New Roman" w:cs="Times New Roman"/>
          <w:kern w:val="0"/>
          <w:sz w:val="24"/>
          <w:szCs w:val="24"/>
          <w14:ligatures w14:val="none"/>
        </w:rPr>
        <w:t>plenary</w:t>
      </w:r>
      <w:proofErr w:type="gramEnd"/>
      <w:r w:rsidRPr="00A7087D">
        <w:rPr>
          <w:rFonts w:ascii="Times New Roman" w:eastAsia="Times New Roman" w:hAnsi="Times New Roman" w:cs="Times New Roman"/>
          <w:kern w:val="0"/>
          <w:sz w:val="24"/>
          <w:szCs w:val="24"/>
          <w14:ligatures w14:val="none"/>
        </w:rPr>
        <w:t xml:space="preserve"> session (involving the full class), review the 6 policy proposals on which votes will be taken. Allow some clarifying questions about the policy proposals; however, for questions that amount to working out the implementation details, tell students they will be able to propose their own implementation details in later discussion. Briefly point </w:t>
      </w:r>
      <w:proofErr w:type="gramStart"/>
      <w:r w:rsidRPr="00A7087D">
        <w:rPr>
          <w:rFonts w:ascii="Times New Roman" w:eastAsia="Times New Roman" w:hAnsi="Times New Roman" w:cs="Times New Roman"/>
          <w:kern w:val="0"/>
          <w:sz w:val="24"/>
          <w:szCs w:val="24"/>
          <w14:ligatures w14:val="none"/>
        </w:rPr>
        <w:t>out to</w:t>
      </w:r>
      <w:proofErr w:type="gramEnd"/>
      <w:r w:rsidRPr="00A7087D">
        <w:rPr>
          <w:rFonts w:ascii="Times New Roman" w:eastAsia="Times New Roman" w:hAnsi="Times New Roman" w:cs="Times New Roman"/>
          <w:kern w:val="0"/>
          <w:sz w:val="24"/>
          <w:szCs w:val="24"/>
          <w14:ligatures w14:val="none"/>
        </w:rPr>
        <w:t xml:space="preserve"> the entire class the names and locations in the classroom of all 12 groups.</w:t>
      </w:r>
    </w:p>
    <w:p w14:paraId="386D382B"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 xml:space="preserve">Within-group discussion. </w:t>
      </w:r>
      <w:r w:rsidRPr="00A7087D">
        <w:rPr>
          <w:rFonts w:ascii="Times New Roman" w:eastAsia="Times New Roman" w:hAnsi="Times New Roman" w:cs="Times New Roman"/>
          <w:kern w:val="0"/>
          <w:sz w:val="24"/>
          <w:szCs w:val="24"/>
          <w14:ligatures w14:val="none"/>
        </w:rPr>
        <w:t>5 minutes. Students read the handout and discuss among themselves their group’s position on the policy proposals. They discuss potential allies and opponents.</w:t>
      </w:r>
    </w:p>
    <w:p w14:paraId="51108C9B"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lastRenderedPageBreak/>
        <w:t>Canvassing.</w:t>
      </w:r>
      <w:r w:rsidRPr="00A7087D">
        <w:rPr>
          <w:rFonts w:ascii="Times New Roman" w:eastAsia="Times New Roman" w:hAnsi="Times New Roman" w:cs="Times New Roman"/>
          <w:kern w:val="0"/>
          <w:sz w:val="24"/>
          <w:szCs w:val="24"/>
          <w14:ligatures w14:val="none"/>
        </w:rPr>
        <w:t xml:space="preserve"> 10 minutes. Students </w:t>
      </w:r>
      <w:proofErr w:type="gramStart"/>
      <w:r w:rsidRPr="00A7087D">
        <w:rPr>
          <w:rFonts w:ascii="Times New Roman" w:eastAsia="Times New Roman" w:hAnsi="Times New Roman" w:cs="Times New Roman"/>
          <w:kern w:val="0"/>
          <w:sz w:val="24"/>
          <w:szCs w:val="24"/>
          <w14:ligatures w14:val="none"/>
        </w:rPr>
        <w:t>mill</w:t>
      </w:r>
      <w:proofErr w:type="gramEnd"/>
      <w:r w:rsidRPr="00A7087D">
        <w:rPr>
          <w:rFonts w:ascii="Times New Roman" w:eastAsia="Times New Roman" w:hAnsi="Times New Roman" w:cs="Times New Roman"/>
          <w:kern w:val="0"/>
          <w:sz w:val="24"/>
          <w:szCs w:val="24"/>
          <w14:ligatures w14:val="none"/>
        </w:rPr>
        <w:t xml:space="preserve"> about the classroom having discussions with other groups. Proposed vote trading is permitted. It is allowable to reach agreement or shared understanding, interpreting the policy proposals and anticipating the implementation details, but the wording of the proposals themselves may not be changed.</w:t>
      </w:r>
    </w:p>
    <w:p w14:paraId="02EEFEFD"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Voting.</w:t>
      </w:r>
      <w:r w:rsidRPr="00A7087D">
        <w:rPr>
          <w:rFonts w:ascii="Times New Roman" w:eastAsia="Times New Roman" w:hAnsi="Times New Roman" w:cs="Times New Roman"/>
          <w:kern w:val="0"/>
          <w:sz w:val="24"/>
          <w:szCs w:val="24"/>
          <w14:ligatures w14:val="none"/>
        </w:rPr>
        <w:t xml:space="preserve"> 10 minutes. Write on the board (or a projector or PowerPoint slide) the 6 policy proposals as a numbered list down the left side. Prepare columns for vote tallies: “yea”, “nay”, and “abstain”. Table 2 illustrates the layout. Recall that there are more than 12 votes total, because of the additional votes assigned to some groups (for example, with the default values, there are 19 votes in total, so 10 votes “yea” are needed to carry the proposal). Briskly, with not much further discussion, conduct the votes and put check marks by the policy proposals that are approved.</w:t>
      </w:r>
    </w:p>
    <w:p w14:paraId="25B8D9DF" w14:textId="77777777" w:rsidR="00A7087D" w:rsidRPr="00A7087D" w:rsidRDefault="00A7087D" w:rsidP="00A7087D">
      <w:pPr>
        <w:numPr>
          <w:ilvl w:val="0"/>
          <w:numId w:val="2"/>
        </w:numPr>
        <w:spacing w:after="0" w:line="240" w:lineRule="auto"/>
        <w:contextualSpacing/>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t>Discussion.</w:t>
      </w:r>
      <w:r w:rsidRPr="00A7087D">
        <w:rPr>
          <w:rFonts w:ascii="Times New Roman" w:eastAsia="Times New Roman" w:hAnsi="Times New Roman" w:cs="Times New Roman"/>
          <w:kern w:val="0"/>
          <w:sz w:val="24"/>
          <w:szCs w:val="24"/>
          <w14:ligatures w14:val="none"/>
        </w:rPr>
        <w:t xml:space="preserve"> 10 minutes. Allow students to comment on their activities and impressions during the exercise. If students express a wish for more detail about some of the policy proposals, point out that some uncertainty on this point is realistic. Real-world legislators delegate some implementation details to the agencies responsible for a policy. It is fine for students to re-open the question of whether they made the correct voting power assignments in the previous exercise. Ask what lessons students learned from this exercise.</w:t>
      </w:r>
    </w:p>
    <w:p w14:paraId="3F8B0F10" w14:textId="77777777" w:rsidR="00A7087D" w:rsidRPr="00A7087D" w:rsidRDefault="00A7087D" w:rsidP="00A7087D">
      <w:pPr>
        <w:spacing w:after="0" w:line="480" w:lineRule="auto"/>
        <w:rPr>
          <w:rFonts w:ascii="Times New Roman" w:eastAsia="Times New Roman" w:hAnsi="Times New Roman" w:cs="Times New Roman"/>
          <w:b/>
          <w:kern w:val="0"/>
          <w:sz w:val="24"/>
          <w:szCs w:val="24"/>
          <w14:ligatures w14:val="none"/>
        </w:rPr>
      </w:pPr>
    </w:p>
    <w:p w14:paraId="4083F421" w14:textId="77777777" w:rsidR="00A7087D" w:rsidRDefault="00A7087D">
      <w:pP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br w:type="page"/>
      </w:r>
    </w:p>
    <w:p w14:paraId="54CDBB7E" w14:textId="376F3654" w:rsidR="00A7087D" w:rsidRPr="00A7087D" w:rsidRDefault="00A7087D" w:rsidP="00A7087D">
      <w:pPr>
        <w:spacing w:after="0" w:line="480" w:lineRule="auto"/>
        <w:rPr>
          <w:rFonts w:ascii="Times New Roman" w:eastAsia="Times New Roman" w:hAnsi="Times New Roman" w:cs="Times New Roman"/>
          <w:kern w:val="0"/>
          <w:sz w:val="24"/>
          <w:szCs w:val="24"/>
          <w14:ligatures w14:val="none"/>
        </w:rPr>
      </w:pPr>
      <w:r w:rsidRPr="00A7087D">
        <w:rPr>
          <w:rFonts w:ascii="Times New Roman" w:eastAsia="Times New Roman" w:hAnsi="Times New Roman" w:cs="Times New Roman"/>
          <w:b/>
          <w:kern w:val="0"/>
          <w:sz w:val="24"/>
          <w:szCs w:val="24"/>
          <w14:ligatures w14:val="none"/>
        </w:rPr>
        <w:lastRenderedPageBreak/>
        <w:t xml:space="preserve">Table 1. </w:t>
      </w:r>
      <w:r w:rsidRPr="00A7087D">
        <w:rPr>
          <w:rFonts w:ascii="Times New Roman" w:eastAsia="Times New Roman" w:hAnsi="Times New Roman" w:cs="Times New Roman"/>
          <w:kern w:val="0"/>
          <w:sz w:val="24"/>
          <w:szCs w:val="24"/>
          <w14:ligatures w14:val="none"/>
        </w:rPr>
        <w:t>Industry or public interest group voting power, for use in later votes (default values).</w:t>
      </w:r>
    </w:p>
    <w:tbl>
      <w:tblPr>
        <w:tblStyle w:val="TableGrid"/>
        <w:tblW w:w="0" w:type="auto"/>
        <w:tblLook w:val="04A0" w:firstRow="1" w:lastRow="0" w:firstColumn="1" w:lastColumn="0" w:noHBand="0" w:noVBand="1"/>
      </w:tblPr>
      <w:tblGrid>
        <w:gridCol w:w="763"/>
        <w:gridCol w:w="2291"/>
        <w:gridCol w:w="3393"/>
        <w:gridCol w:w="826"/>
        <w:gridCol w:w="936"/>
        <w:gridCol w:w="809"/>
      </w:tblGrid>
      <w:tr w:rsidR="00A7087D" w:rsidRPr="00A7087D" w14:paraId="10E83E77" w14:textId="77777777" w:rsidTr="00CF49C8">
        <w:trPr>
          <w:trHeight w:val="300"/>
        </w:trPr>
        <w:tc>
          <w:tcPr>
            <w:tcW w:w="763" w:type="dxa"/>
            <w:noWrap/>
            <w:hideMark/>
          </w:tcPr>
          <w:p w14:paraId="739EB314" w14:textId="77777777" w:rsidR="00A7087D" w:rsidRPr="00A7087D" w:rsidRDefault="00A7087D" w:rsidP="00A7087D">
            <w:pPr>
              <w:rPr>
                <w:rFonts w:ascii="Times New Roman" w:hAnsi="Times New Roman" w:cs="Times New Roman"/>
                <w:sz w:val="24"/>
                <w:szCs w:val="24"/>
                <w14:ligatures w14:val="none"/>
              </w:rPr>
            </w:pPr>
          </w:p>
        </w:tc>
        <w:tc>
          <w:tcPr>
            <w:tcW w:w="2291" w:type="dxa"/>
            <w:noWrap/>
            <w:hideMark/>
          </w:tcPr>
          <w:p w14:paraId="2A48EC18"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Industry or public interest</w:t>
            </w:r>
          </w:p>
        </w:tc>
        <w:tc>
          <w:tcPr>
            <w:tcW w:w="3393" w:type="dxa"/>
            <w:noWrap/>
            <w:hideMark/>
          </w:tcPr>
          <w:p w14:paraId="4A9628DD"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Trade association or public interest group</w:t>
            </w:r>
          </w:p>
        </w:tc>
        <w:tc>
          <w:tcPr>
            <w:tcW w:w="2571" w:type="dxa"/>
            <w:gridSpan w:val="3"/>
            <w:noWrap/>
            <w:hideMark/>
          </w:tcPr>
          <w:p w14:paraId="7DAA7F72"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Power score</w:t>
            </w:r>
          </w:p>
        </w:tc>
      </w:tr>
      <w:tr w:rsidR="00A7087D" w:rsidRPr="00A7087D" w14:paraId="609D54B9" w14:textId="77777777" w:rsidTr="00CF49C8">
        <w:trPr>
          <w:trHeight w:val="300"/>
        </w:trPr>
        <w:tc>
          <w:tcPr>
            <w:tcW w:w="763" w:type="dxa"/>
            <w:noWrap/>
            <w:hideMark/>
          </w:tcPr>
          <w:p w14:paraId="38B10D0F" w14:textId="77777777" w:rsidR="00A7087D" w:rsidRPr="00A7087D" w:rsidRDefault="00A7087D" w:rsidP="00A7087D">
            <w:pPr>
              <w:rPr>
                <w:rFonts w:ascii="Times New Roman" w:hAnsi="Times New Roman" w:cs="Times New Roman"/>
                <w:sz w:val="24"/>
                <w:szCs w:val="24"/>
                <w14:ligatures w14:val="none"/>
              </w:rPr>
            </w:pPr>
          </w:p>
        </w:tc>
        <w:tc>
          <w:tcPr>
            <w:tcW w:w="2291" w:type="dxa"/>
            <w:noWrap/>
            <w:hideMark/>
          </w:tcPr>
          <w:p w14:paraId="7B4ECA45" w14:textId="77777777" w:rsidR="00A7087D" w:rsidRPr="00A7087D" w:rsidRDefault="00A7087D" w:rsidP="00A7087D">
            <w:pPr>
              <w:rPr>
                <w:rFonts w:ascii="Times New Roman" w:hAnsi="Times New Roman" w:cs="Times New Roman"/>
                <w:sz w:val="24"/>
                <w:szCs w:val="24"/>
                <w14:ligatures w14:val="none"/>
              </w:rPr>
            </w:pPr>
          </w:p>
        </w:tc>
        <w:tc>
          <w:tcPr>
            <w:tcW w:w="3393" w:type="dxa"/>
            <w:noWrap/>
            <w:hideMark/>
          </w:tcPr>
          <w:p w14:paraId="18B2A065" w14:textId="77777777" w:rsidR="00A7087D" w:rsidRPr="00A7087D" w:rsidRDefault="00A7087D" w:rsidP="00A7087D">
            <w:pPr>
              <w:rPr>
                <w:rFonts w:ascii="Times New Roman" w:hAnsi="Times New Roman" w:cs="Times New Roman"/>
                <w:sz w:val="24"/>
                <w:szCs w:val="24"/>
                <w14:ligatures w14:val="none"/>
              </w:rPr>
            </w:pPr>
          </w:p>
        </w:tc>
        <w:tc>
          <w:tcPr>
            <w:tcW w:w="826" w:type="dxa"/>
            <w:noWrap/>
            <w:hideMark/>
          </w:tcPr>
          <w:p w14:paraId="17C008C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Base</w:t>
            </w:r>
          </w:p>
        </w:tc>
        <w:tc>
          <w:tcPr>
            <w:tcW w:w="936" w:type="dxa"/>
            <w:noWrap/>
            <w:hideMark/>
          </w:tcPr>
          <w:p w14:paraId="3D1C8138"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Added</w:t>
            </w:r>
          </w:p>
        </w:tc>
        <w:tc>
          <w:tcPr>
            <w:tcW w:w="809" w:type="dxa"/>
            <w:noWrap/>
            <w:hideMark/>
          </w:tcPr>
          <w:p w14:paraId="09962886"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Total</w:t>
            </w:r>
          </w:p>
        </w:tc>
      </w:tr>
      <w:tr w:rsidR="00A7087D" w:rsidRPr="00A7087D" w14:paraId="31504CFF" w14:textId="77777777" w:rsidTr="00CF49C8">
        <w:trPr>
          <w:trHeight w:val="300"/>
        </w:trPr>
        <w:tc>
          <w:tcPr>
            <w:tcW w:w="763" w:type="dxa"/>
            <w:noWrap/>
            <w:hideMark/>
          </w:tcPr>
          <w:p w14:paraId="0EC8385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2291" w:type="dxa"/>
            <w:noWrap/>
            <w:hideMark/>
          </w:tcPr>
          <w:p w14:paraId="32253F9D"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Fresh fruits and vegetables</w:t>
            </w:r>
          </w:p>
        </w:tc>
        <w:tc>
          <w:tcPr>
            <w:tcW w:w="3393" w:type="dxa"/>
            <w:noWrap/>
            <w:hideMark/>
          </w:tcPr>
          <w:p w14:paraId="5A0628C0"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United Fresh Produce Association</w:t>
            </w:r>
          </w:p>
        </w:tc>
        <w:tc>
          <w:tcPr>
            <w:tcW w:w="826" w:type="dxa"/>
            <w:noWrap/>
            <w:hideMark/>
          </w:tcPr>
          <w:p w14:paraId="395628DD"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396A7B54"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450A2593"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3C3F9D3E" w14:textId="77777777" w:rsidTr="00CF49C8">
        <w:trPr>
          <w:trHeight w:val="300"/>
        </w:trPr>
        <w:tc>
          <w:tcPr>
            <w:tcW w:w="763" w:type="dxa"/>
            <w:noWrap/>
            <w:hideMark/>
          </w:tcPr>
          <w:p w14:paraId="70A6AF3F"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2</w:t>
            </w:r>
          </w:p>
        </w:tc>
        <w:tc>
          <w:tcPr>
            <w:tcW w:w="2291" w:type="dxa"/>
            <w:noWrap/>
            <w:hideMark/>
          </w:tcPr>
          <w:p w14:paraId="459DF135"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Processed fruits and vegetables</w:t>
            </w:r>
          </w:p>
        </w:tc>
        <w:tc>
          <w:tcPr>
            <w:tcW w:w="3393" w:type="dxa"/>
            <w:noWrap/>
            <w:hideMark/>
          </w:tcPr>
          <w:p w14:paraId="573B58B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American Frozen Food Institute</w:t>
            </w:r>
          </w:p>
        </w:tc>
        <w:tc>
          <w:tcPr>
            <w:tcW w:w="826" w:type="dxa"/>
            <w:noWrap/>
            <w:hideMark/>
          </w:tcPr>
          <w:p w14:paraId="1AC6615C"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4791BED8"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3D5335B1"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0B5438BB" w14:textId="77777777" w:rsidTr="00CF49C8">
        <w:trPr>
          <w:trHeight w:val="300"/>
        </w:trPr>
        <w:tc>
          <w:tcPr>
            <w:tcW w:w="763" w:type="dxa"/>
            <w:noWrap/>
            <w:hideMark/>
          </w:tcPr>
          <w:p w14:paraId="6F803A79"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3</w:t>
            </w:r>
          </w:p>
        </w:tc>
        <w:tc>
          <w:tcPr>
            <w:tcW w:w="2291" w:type="dxa"/>
            <w:noWrap/>
            <w:hideMark/>
          </w:tcPr>
          <w:p w14:paraId="255023D4"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Conventional beef</w:t>
            </w:r>
          </w:p>
        </w:tc>
        <w:tc>
          <w:tcPr>
            <w:tcW w:w="3393" w:type="dxa"/>
            <w:noWrap/>
            <w:hideMark/>
          </w:tcPr>
          <w:p w14:paraId="0E7B36D6"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National Cattleman’s Beef Association</w:t>
            </w:r>
          </w:p>
        </w:tc>
        <w:tc>
          <w:tcPr>
            <w:tcW w:w="826" w:type="dxa"/>
            <w:noWrap/>
            <w:hideMark/>
          </w:tcPr>
          <w:p w14:paraId="27F379C6"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42936617"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2</w:t>
            </w:r>
          </w:p>
        </w:tc>
        <w:tc>
          <w:tcPr>
            <w:tcW w:w="809" w:type="dxa"/>
            <w:noWrap/>
            <w:hideMark/>
          </w:tcPr>
          <w:p w14:paraId="2BC04CEF"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3</w:t>
            </w:r>
          </w:p>
        </w:tc>
      </w:tr>
      <w:tr w:rsidR="00A7087D" w:rsidRPr="00A7087D" w14:paraId="4F44CBA7" w14:textId="77777777" w:rsidTr="00CF49C8">
        <w:trPr>
          <w:trHeight w:val="300"/>
        </w:trPr>
        <w:tc>
          <w:tcPr>
            <w:tcW w:w="763" w:type="dxa"/>
            <w:noWrap/>
            <w:hideMark/>
          </w:tcPr>
          <w:p w14:paraId="3911117C"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4</w:t>
            </w:r>
          </w:p>
        </w:tc>
        <w:tc>
          <w:tcPr>
            <w:tcW w:w="2291" w:type="dxa"/>
            <w:noWrap/>
            <w:hideMark/>
          </w:tcPr>
          <w:p w14:paraId="5ED89AAF"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Alternative beef</w:t>
            </w:r>
          </w:p>
        </w:tc>
        <w:tc>
          <w:tcPr>
            <w:tcW w:w="3393" w:type="dxa"/>
            <w:noWrap/>
            <w:hideMark/>
          </w:tcPr>
          <w:p w14:paraId="36B32735"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American Grassfed Association</w:t>
            </w:r>
          </w:p>
        </w:tc>
        <w:tc>
          <w:tcPr>
            <w:tcW w:w="826" w:type="dxa"/>
            <w:noWrap/>
            <w:hideMark/>
          </w:tcPr>
          <w:p w14:paraId="11F3EADB"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55859BCA"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01B6721F"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6D181809" w14:textId="77777777" w:rsidTr="00CF49C8">
        <w:trPr>
          <w:trHeight w:val="300"/>
        </w:trPr>
        <w:tc>
          <w:tcPr>
            <w:tcW w:w="763" w:type="dxa"/>
            <w:noWrap/>
            <w:hideMark/>
          </w:tcPr>
          <w:p w14:paraId="1D45AEF2"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5</w:t>
            </w:r>
          </w:p>
        </w:tc>
        <w:tc>
          <w:tcPr>
            <w:tcW w:w="2291" w:type="dxa"/>
            <w:noWrap/>
            <w:hideMark/>
          </w:tcPr>
          <w:p w14:paraId="15554C43"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Conventional dairy</w:t>
            </w:r>
          </w:p>
        </w:tc>
        <w:tc>
          <w:tcPr>
            <w:tcW w:w="3393" w:type="dxa"/>
            <w:noWrap/>
            <w:hideMark/>
          </w:tcPr>
          <w:p w14:paraId="045B71B9"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National Milk Producers Federation</w:t>
            </w:r>
          </w:p>
        </w:tc>
        <w:tc>
          <w:tcPr>
            <w:tcW w:w="826" w:type="dxa"/>
            <w:noWrap/>
            <w:hideMark/>
          </w:tcPr>
          <w:p w14:paraId="43266F58"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348A5218"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2</w:t>
            </w:r>
          </w:p>
        </w:tc>
        <w:tc>
          <w:tcPr>
            <w:tcW w:w="809" w:type="dxa"/>
            <w:noWrap/>
            <w:hideMark/>
          </w:tcPr>
          <w:p w14:paraId="397C355E"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3</w:t>
            </w:r>
          </w:p>
        </w:tc>
      </w:tr>
      <w:tr w:rsidR="00A7087D" w:rsidRPr="00A7087D" w14:paraId="6C8C98BF" w14:textId="77777777" w:rsidTr="00CF49C8">
        <w:trPr>
          <w:trHeight w:val="300"/>
        </w:trPr>
        <w:tc>
          <w:tcPr>
            <w:tcW w:w="763" w:type="dxa"/>
            <w:noWrap/>
            <w:hideMark/>
          </w:tcPr>
          <w:p w14:paraId="505EF6A6"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6</w:t>
            </w:r>
          </w:p>
        </w:tc>
        <w:tc>
          <w:tcPr>
            <w:tcW w:w="2291" w:type="dxa"/>
            <w:noWrap/>
            <w:hideMark/>
          </w:tcPr>
          <w:p w14:paraId="66290F00"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 xml:space="preserve">Budget deficit hawks </w:t>
            </w:r>
          </w:p>
        </w:tc>
        <w:tc>
          <w:tcPr>
            <w:tcW w:w="3393" w:type="dxa"/>
            <w:noWrap/>
            <w:hideMark/>
          </w:tcPr>
          <w:p w14:paraId="503164E4"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 xml:space="preserve">Citizens Against Government Waste </w:t>
            </w:r>
          </w:p>
        </w:tc>
        <w:tc>
          <w:tcPr>
            <w:tcW w:w="826" w:type="dxa"/>
            <w:noWrap/>
            <w:hideMark/>
          </w:tcPr>
          <w:p w14:paraId="11F85C44"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7FF86395"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771144E2"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425D5A41" w14:textId="77777777" w:rsidTr="00CF49C8">
        <w:trPr>
          <w:trHeight w:val="300"/>
        </w:trPr>
        <w:tc>
          <w:tcPr>
            <w:tcW w:w="763" w:type="dxa"/>
            <w:noWrap/>
            <w:hideMark/>
          </w:tcPr>
          <w:p w14:paraId="68CCC0F5"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7</w:t>
            </w:r>
          </w:p>
        </w:tc>
        <w:tc>
          <w:tcPr>
            <w:tcW w:w="2291" w:type="dxa"/>
            <w:noWrap/>
            <w:hideMark/>
          </w:tcPr>
          <w:p w14:paraId="121374A9"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Anti-hunger</w:t>
            </w:r>
          </w:p>
        </w:tc>
        <w:tc>
          <w:tcPr>
            <w:tcW w:w="3393" w:type="dxa"/>
            <w:noWrap/>
            <w:hideMark/>
          </w:tcPr>
          <w:p w14:paraId="0F6F4253"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Food Research and Action Center</w:t>
            </w:r>
          </w:p>
        </w:tc>
        <w:tc>
          <w:tcPr>
            <w:tcW w:w="826" w:type="dxa"/>
            <w:noWrap/>
            <w:hideMark/>
          </w:tcPr>
          <w:p w14:paraId="3A503635"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323C50BE"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4EF2596C"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3F4D9F17" w14:textId="77777777" w:rsidTr="00CF49C8">
        <w:trPr>
          <w:trHeight w:val="300"/>
        </w:trPr>
        <w:tc>
          <w:tcPr>
            <w:tcW w:w="763" w:type="dxa"/>
            <w:noWrap/>
            <w:hideMark/>
          </w:tcPr>
          <w:p w14:paraId="125C372C"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8</w:t>
            </w:r>
          </w:p>
        </w:tc>
        <w:tc>
          <w:tcPr>
            <w:tcW w:w="2291" w:type="dxa"/>
            <w:noWrap/>
            <w:hideMark/>
          </w:tcPr>
          <w:p w14:paraId="76BD585D"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Public health nutrition advocacy</w:t>
            </w:r>
          </w:p>
        </w:tc>
        <w:tc>
          <w:tcPr>
            <w:tcW w:w="3393" w:type="dxa"/>
            <w:noWrap/>
            <w:hideMark/>
          </w:tcPr>
          <w:p w14:paraId="58F3EFA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Center for Science in the Public Interest</w:t>
            </w:r>
          </w:p>
        </w:tc>
        <w:tc>
          <w:tcPr>
            <w:tcW w:w="826" w:type="dxa"/>
            <w:noWrap/>
            <w:hideMark/>
          </w:tcPr>
          <w:p w14:paraId="213CD978"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366F8C3D"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7063CA1D"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734E61CB" w14:textId="77777777" w:rsidTr="00CF49C8">
        <w:trPr>
          <w:trHeight w:val="300"/>
        </w:trPr>
        <w:tc>
          <w:tcPr>
            <w:tcW w:w="763" w:type="dxa"/>
            <w:noWrap/>
            <w:hideMark/>
          </w:tcPr>
          <w:p w14:paraId="1FDD0635"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9</w:t>
            </w:r>
          </w:p>
        </w:tc>
        <w:tc>
          <w:tcPr>
            <w:tcW w:w="2291" w:type="dxa"/>
            <w:noWrap/>
            <w:hideMark/>
          </w:tcPr>
          <w:p w14:paraId="7D43D25A"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Food manufacturers</w:t>
            </w:r>
          </w:p>
        </w:tc>
        <w:tc>
          <w:tcPr>
            <w:tcW w:w="3393" w:type="dxa"/>
            <w:noWrap/>
            <w:hideMark/>
          </w:tcPr>
          <w:p w14:paraId="2DE9C24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Consumer Brands Association (formerly Grocery Manufacturers Association)</w:t>
            </w:r>
          </w:p>
        </w:tc>
        <w:tc>
          <w:tcPr>
            <w:tcW w:w="826" w:type="dxa"/>
            <w:noWrap/>
            <w:hideMark/>
          </w:tcPr>
          <w:p w14:paraId="7BCDFF5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28C8C01C"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2</w:t>
            </w:r>
          </w:p>
        </w:tc>
        <w:tc>
          <w:tcPr>
            <w:tcW w:w="809" w:type="dxa"/>
            <w:noWrap/>
            <w:hideMark/>
          </w:tcPr>
          <w:p w14:paraId="387ECB6A"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3</w:t>
            </w:r>
          </w:p>
        </w:tc>
      </w:tr>
      <w:tr w:rsidR="00A7087D" w:rsidRPr="00A7087D" w14:paraId="4175AED6" w14:textId="77777777" w:rsidTr="00CF49C8">
        <w:trPr>
          <w:trHeight w:val="300"/>
        </w:trPr>
        <w:tc>
          <w:tcPr>
            <w:tcW w:w="763" w:type="dxa"/>
            <w:noWrap/>
            <w:hideMark/>
          </w:tcPr>
          <w:p w14:paraId="210AA31B"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10</w:t>
            </w:r>
          </w:p>
        </w:tc>
        <w:tc>
          <w:tcPr>
            <w:tcW w:w="2291" w:type="dxa"/>
            <w:noWrap/>
            <w:hideMark/>
          </w:tcPr>
          <w:p w14:paraId="30200E1D"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Food retailers</w:t>
            </w:r>
          </w:p>
        </w:tc>
        <w:tc>
          <w:tcPr>
            <w:tcW w:w="3393" w:type="dxa"/>
            <w:noWrap/>
            <w:hideMark/>
          </w:tcPr>
          <w:p w14:paraId="58CA371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Food Marketing Institute</w:t>
            </w:r>
          </w:p>
        </w:tc>
        <w:tc>
          <w:tcPr>
            <w:tcW w:w="826" w:type="dxa"/>
            <w:noWrap/>
            <w:hideMark/>
          </w:tcPr>
          <w:p w14:paraId="60AF5A6B"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422CB38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809" w:type="dxa"/>
            <w:noWrap/>
            <w:hideMark/>
          </w:tcPr>
          <w:p w14:paraId="47EF46A3"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2</w:t>
            </w:r>
          </w:p>
        </w:tc>
      </w:tr>
      <w:tr w:rsidR="00A7087D" w:rsidRPr="00A7087D" w14:paraId="7A6248EF" w14:textId="77777777" w:rsidTr="00CF49C8">
        <w:trPr>
          <w:trHeight w:val="300"/>
        </w:trPr>
        <w:tc>
          <w:tcPr>
            <w:tcW w:w="763" w:type="dxa"/>
            <w:noWrap/>
            <w:hideMark/>
          </w:tcPr>
          <w:p w14:paraId="5AC1167E"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11</w:t>
            </w:r>
          </w:p>
        </w:tc>
        <w:tc>
          <w:tcPr>
            <w:tcW w:w="2291" w:type="dxa"/>
            <w:noWrap/>
            <w:hideMark/>
          </w:tcPr>
          <w:p w14:paraId="3C88B5F1"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Nutrition science (industry-oriented)</w:t>
            </w:r>
          </w:p>
        </w:tc>
        <w:tc>
          <w:tcPr>
            <w:tcW w:w="3393" w:type="dxa"/>
            <w:noWrap/>
            <w:hideMark/>
          </w:tcPr>
          <w:p w14:paraId="63B8B40B"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International Food Information Council</w:t>
            </w:r>
          </w:p>
        </w:tc>
        <w:tc>
          <w:tcPr>
            <w:tcW w:w="826" w:type="dxa"/>
            <w:noWrap/>
            <w:hideMark/>
          </w:tcPr>
          <w:p w14:paraId="3FDFED80"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0CA729BC"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03F8C9CC"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16ABB968" w14:textId="77777777" w:rsidTr="00CF49C8">
        <w:trPr>
          <w:trHeight w:val="300"/>
        </w:trPr>
        <w:tc>
          <w:tcPr>
            <w:tcW w:w="763" w:type="dxa"/>
            <w:noWrap/>
            <w:hideMark/>
          </w:tcPr>
          <w:p w14:paraId="2794F103"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12</w:t>
            </w:r>
          </w:p>
        </w:tc>
        <w:tc>
          <w:tcPr>
            <w:tcW w:w="2291" w:type="dxa"/>
            <w:noWrap/>
            <w:hideMark/>
          </w:tcPr>
          <w:p w14:paraId="17EEC10E"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Nutrition science (mainstream)</w:t>
            </w:r>
          </w:p>
        </w:tc>
        <w:tc>
          <w:tcPr>
            <w:tcW w:w="3393" w:type="dxa"/>
            <w:noWrap/>
            <w:hideMark/>
          </w:tcPr>
          <w:p w14:paraId="3D70FC12"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Academy of Nutrition and Dietetics</w:t>
            </w:r>
          </w:p>
        </w:tc>
        <w:tc>
          <w:tcPr>
            <w:tcW w:w="826" w:type="dxa"/>
            <w:noWrap/>
            <w:hideMark/>
          </w:tcPr>
          <w:p w14:paraId="32830B0B" w14:textId="77777777" w:rsidR="00A7087D" w:rsidRPr="00A7087D" w:rsidRDefault="00A7087D" w:rsidP="00A7087D">
            <w:pPr>
              <w:rPr>
                <w:rFonts w:ascii="Times New Roman" w:hAnsi="Times New Roman" w:cs="Times New Roman"/>
                <w:sz w:val="24"/>
                <w:szCs w:val="24"/>
                <w14:ligatures w14:val="none"/>
              </w:rPr>
            </w:pPr>
            <w:r w:rsidRPr="00A7087D">
              <w:rPr>
                <w:rFonts w:ascii="Times New Roman" w:hAnsi="Times New Roman" w:cs="Times New Roman"/>
                <w:sz w:val="24"/>
                <w:szCs w:val="24"/>
                <w14:ligatures w14:val="none"/>
              </w:rPr>
              <w:t>1</w:t>
            </w:r>
          </w:p>
        </w:tc>
        <w:tc>
          <w:tcPr>
            <w:tcW w:w="936" w:type="dxa"/>
            <w:noWrap/>
            <w:hideMark/>
          </w:tcPr>
          <w:p w14:paraId="684B69EE"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302BAD7F"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w:t>
            </w:r>
          </w:p>
        </w:tc>
      </w:tr>
      <w:tr w:rsidR="00A7087D" w:rsidRPr="00A7087D" w14:paraId="159B4192" w14:textId="77777777" w:rsidTr="00CF49C8">
        <w:trPr>
          <w:trHeight w:val="300"/>
        </w:trPr>
        <w:tc>
          <w:tcPr>
            <w:tcW w:w="763" w:type="dxa"/>
            <w:noWrap/>
            <w:hideMark/>
          </w:tcPr>
          <w:p w14:paraId="54F47D35"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Total</w:t>
            </w:r>
          </w:p>
        </w:tc>
        <w:tc>
          <w:tcPr>
            <w:tcW w:w="2291" w:type="dxa"/>
            <w:noWrap/>
            <w:hideMark/>
          </w:tcPr>
          <w:p w14:paraId="42743D76" w14:textId="77777777" w:rsidR="00A7087D" w:rsidRPr="00A7087D" w:rsidRDefault="00A7087D" w:rsidP="00A7087D">
            <w:pPr>
              <w:rPr>
                <w:rFonts w:ascii="Times New Roman" w:hAnsi="Times New Roman" w:cs="Times New Roman"/>
                <w:sz w:val="24"/>
                <w:szCs w:val="24"/>
                <w14:ligatures w14:val="none"/>
              </w:rPr>
            </w:pPr>
          </w:p>
        </w:tc>
        <w:tc>
          <w:tcPr>
            <w:tcW w:w="3393" w:type="dxa"/>
            <w:noWrap/>
            <w:hideMark/>
          </w:tcPr>
          <w:p w14:paraId="00669E3B" w14:textId="77777777" w:rsidR="00A7087D" w:rsidRPr="00A7087D" w:rsidRDefault="00A7087D" w:rsidP="00A7087D">
            <w:pPr>
              <w:rPr>
                <w:rFonts w:ascii="Times New Roman" w:hAnsi="Times New Roman" w:cs="Times New Roman"/>
                <w:sz w:val="24"/>
                <w:szCs w:val="24"/>
                <w14:ligatures w14:val="none"/>
              </w:rPr>
            </w:pPr>
          </w:p>
        </w:tc>
        <w:tc>
          <w:tcPr>
            <w:tcW w:w="826" w:type="dxa"/>
            <w:noWrap/>
            <w:hideMark/>
          </w:tcPr>
          <w:p w14:paraId="7BD0E00C" w14:textId="77777777" w:rsidR="00A7087D" w:rsidRPr="00A7087D" w:rsidRDefault="00A7087D" w:rsidP="00A7087D">
            <w:pPr>
              <w:rPr>
                <w:rFonts w:ascii="Times New Roman" w:hAnsi="Times New Roman" w:cs="Times New Roman"/>
                <w:sz w:val="24"/>
                <w:szCs w:val="24"/>
                <w14:ligatures w14:val="none"/>
              </w:rPr>
            </w:pPr>
          </w:p>
        </w:tc>
        <w:tc>
          <w:tcPr>
            <w:tcW w:w="936" w:type="dxa"/>
            <w:noWrap/>
            <w:hideMark/>
          </w:tcPr>
          <w:p w14:paraId="1730296B" w14:textId="77777777" w:rsidR="00A7087D" w:rsidRPr="00A7087D" w:rsidRDefault="00A7087D" w:rsidP="00A7087D">
            <w:pPr>
              <w:rPr>
                <w:rFonts w:ascii="Times New Roman" w:hAnsi="Times New Roman" w:cs="Times New Roman"/>
                <w:sz w:val="24"/>
                <w:szCs w:val="24"/>
                <w14:ligatures w14:val="none"/>
              </w:rPr>
            </w:pPr>
          </w:p>
        </w:tc>
        <w:tc>
          <w:tcPr>
            <w:tcW w:w="809" w:type="dxa"/>
            <w:noWrap/>
            <w:hideMark/>
          </w:tcPr>
          <w:p w14:paraId="2DB1B5E1" w14:textId="77777777" w:rsidR="00A7087D" w:rsidRPr="00A7087D" w:rsidRDefault="00A7087D" w:rsidP="00A7087D">
            <w:pPr>
              <w:rPr>
                <w:rFonts w:ascii="Times New Roman" w:hAnsi="Times New Roman" w:cs="Times New Roman"/>
                <w:b/>
                <w:bCs/>
                <w:sz w:val="24"/>
                <w:szCs w:val="24"/>
                <w14:ligatures w14:val="none"/>
              </w:rPr>
            </w:pPr>
            <w:r w:rsidRPr="00A7087D">
              <w:rPr>
                <w:rFonts w:ascii="Times New Roman" w:hAnsi="Times New Roman" w:cs="Times New Roman"/>
                <w:b/>
                <w:bCs/>
                <w:sz w:val="24"/>
                <w:szCs w:val="24"/>
                <w14:ligatures w14:val="none"/>
              </w:rPr>
              <w:t>19</w:t>
            </w:r>
          </w:p>
        </w:tc>
      </w:tr>
    </w:tbl>
    <w:p w14:paraId="442FCD91" w14:textId="36555FAD"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092"/>
    <w:multiLevelType w:val="hybridMultilevel"/>
    <w:tmpl w:val="D386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14E65"/>
    <w:multiLevelType w:val="hybridMultilevel"/>
    <w:tmpl w:val="156056F6"/>
    <w:lvl w:ilvl="0" w:tplc="4DECD2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788970">
    <w:abstractNumId w:val="0"/>
  </w:num>
  <w:num w:numId="2" w16cid:durableId="37030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87D"/>
    <w:rsid w:val="00222860"/>
    <w:rsid w:val="005F6CCA"/>
    <w:rsid w:val="006B214A"/>
    <w:rsid w:val="00A7087D"/>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7FCF"/>
  <w15:chartTrackingRefBased/>
  <w15:docId w15:val="{A000A7F2-F6C5-40BA-BE69-67BFDD2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8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8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8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8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8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8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8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8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8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8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8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8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87D"/>
    <w:rPr>
      <w:rFonts w:eastAsiaTheme="majorEastAsia" w:cstheme="majorBidi"/>
      <w:color w:val="272727" w:themeColor="text1" w:themeTint="D8"/>
    </w:rPr>
  </w:style>
  <w:style w:type="paragraph" w:styleId="Title">
    <w:name w:val="Title"/>
    <w:basedOn w:val="Normal"/>
    <w:next w:val="Normal"/>
    <w:link w:val="TitleChar"/>
    <w:uiPriority w:val="10"/>
    <w:qFormat/>
    <w:rsid w:val="00A70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8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87D"/>
    <w:pPr>
      <w:spacing w:before="160"/>
      <w:jc w:val="center"/>
    </w:pPr>
    <w:rPr>
      <w:i/>
      <w:iCs/>
      <w:color w:val="404040" w:themeColor="text1" w:themeTint="BF"/>
    </w:rPr>
  </w:style>
  <w:style w:type="character" w:customStyle="1" w:styleId="QuoteChar">
    <w:name w:val="Quote Char"/>
    <w:basedOn w:val="DefaultParagraphFont"/>
    <w:link w:val="Quote"/>
    <w:uiPriority w:val="29"/>
    <w:rsid w:val="00A7087D"/>
    <w:rPr>
      <w:i/>
      <w:iCs/>
      <w:color w:val="404040" w:themeColor="text1" w:themeTint="BF"/>
    </w:rPr>
  </w:style>
  <w:style w:type="paragraph" w:styleId="ListParagraph">
    <w:name w:val="List Paragraph"/>
    <w:basedOn w:val="Normal"/>
    <w:uiPriority w:val="34"/>
    <w:qFormat/>
    <w:rsid w:val="00A7087D"/>
    <w:pPr>
      <w:ind w:left="720"/>
      <w:contextualSpacing/>
    </w:pPr>
  </w:style>
  <w:style w:type="character" w:styleId="IntenseEmphasis">
    <w:name w:val="Intense Emphasis"/>
    <w:basedOn w:val="DefaultParagraphFont"/>
    <w:uiPriority w:val="21"/>
    <w:qFormat/>
    <w:rsid w:val="00A7087D"/>
    <w:rPr>
      <w:i/>
      <w:iCs/>
      <w:color w:val="0F4761" w:themeColor="accent1" w:themeShade="BF"/>
    </w:rPr>
  </w:style>
  <w:style w:type="paragraph" w:styleId="IntenseQuote">
    <w:name w:val="Intense Quote"/>
    <w:basedOn w:val="Normal"/>
    <w:next w:val="Normal"/>
    <w:link w:val="IntenseQuoteChar"/>
    <w:uiPriority w:val="30"/>
    <w:qFormat/>
    <w:rsid w:val="00A70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87D"/>
    <w:rPr>
      <w:i/>
      <w:iCs/>
      <w:color w:val="0F4761" w:themeColor="accent1" w:themeShade="BF"/>
    </w:rPr>
  </w:style>
  <w:style w:type="character" w:styleId="IntenseReference">
    <w:name w:val="Intense Reference"/>
    <w:basedOn w:val="DefaultParagraphFont"/>
    <w:uiPriority w:val="32"/>
    <w:qFormat/>
    <w:rsid w:val="00A7087D"/>
    <w:rPr>
      <w:b/>
      <w:bCs/>
      <w:smallCaps/>
      <w:color w:val="0F4761" w:themeColor="accent1" w:themeShade="BF"/>
      <w:spacing w:val="5"/>
    </w:rPr>
  </w:style>
  <w:style w:type="table" w:styleId="TableGrid">
    <w:name w:val="Table Grid"/>
    <w:basedOn w:val="TableNormal"/>
    <w:uiPriority w:val="59"/>
    <w:rsid w:val="00A7087D"/>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4013</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2025-02-16T23:01:00Z</dcterms:created>
  <dcterms:modified xsi:type="dcterms:W3CDTF">2025-02-16T23:02:00Z</dcterms:modified>
</cp:coreProperties>
</file>