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1B371"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
          <w:bCs/>
          <w:kern w:val="0"/>
          <w:sz w:val="24"/>
          <w:szCs w:val="24"/>
          <w14:ligatures w14:val="none"/>
        </w:rPr>
      </w:pPr>
      <w:r w:rsidRPr="00EB307D">
        <w:rPr>
          <w:rFonts w:ascii="Times New Roman" w:eastAsia="Times New Roman" w:hAnsi="Times New Roman" w:cs="Times New Roman"/>
          <w:b/>
          <w:bCs/>
          <w:kern w:val="0"/>
          <w:sz w:val="24"/>
          <w:szCs w:val="24"/>
          <w14:ligatures w14:val="none"/>
        </w:rPr>
        <w:t>Appendix S6.1</w:t>
      </w:r>
      <w:r w:rsidRPr="00EB307D">
        <w:rPr>
          <w:rFonts w:ascii="Times New Roman" w:eastAsia="Times New Roman" w:hAnsi="Times New Roman" w:cs="Times New Roman"/>
          <w:b/>
          <w:bCs/>
          <w:kern w:val="0"/>
          <w:sz w:val="24"/>
          <w:szCs w:val="24"/>
          <w14:ligatures w14:val="none"/>
        </w:rPr>
        <w:tab/>
        <w:t>The economics of consumer demand, responding to a price change</w:t>
      </w:r>
    </w:p>
    <w:p w14:paraId="762DBDC1"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53D58ECC"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EB307D">
        <w:rPr>
          <w:rFonts w:ascii="Times New Roman" w:eastAsia="Times New Roman" w:hAnsi="Times New Roman" w:cs="Times New Roman"/>
          <w:bCs/>
          <w:kern w:val="0"/>
          <w:sz w:val="24"/>
          <w:szCs w:val="24"/>
          <w14:ligatures w14:val="none"/>
        </w:rPr>
        <w:t>Continuing an example from Box 6.3, this appendix illustrates how the optimal choice changes when the price changes. You can think of the indifference curve in the figures as just one “contour line” in a “contour map” – like a hiking map, except showing the appeal of different combinations of goods. Combinations with more non-food goods and more food (to the top right of the figure) are “uphill,” on higher contour lines. Combination with less other goods and less food (to the bottom left of the figure) are “downhill,” with less appeal.</w:t>
      </w:r>
    </w:p>
    <w:p w14:paraId="42D40159"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EB307D">
        <w:rPr>
          <w:rFonts w:ascii="Times New Roman" w:eastAsia="Times New Roman" w:hAnsi="Times New Roman" w:cs="Times New Roman"/>
          <w:bCs/>
          <w:kern w:val="0"/>
          <w:sz w:val="24"/>
          <w:szCs w:val="24"/>
          <w14:ligatures w14:val="none"/>
        </w:rPr>
        <w:tab/>
        <w:t xml:space="preserve">In Figure S6.1, the price of other goods has risen, which is bad news for the consumer, and the price of food has fallen, which is good news for the consumer. At the new prices, one can trade 1.8 units of the other goods for 1,000 grams of food. In this example, we picked these new prices so that the bad news and the good news just happened to offset each other, and the consumer remains on the same </w:t>
      </w:r>
      <w:proofErr w:type="gramStart"/>
      <w:r w:rsidRPr="00EB307D">
        <w:rPr>
          <w:rFonts w:ascii="Times New Roman" w:eastAsia="Times New Roman" w:hAnsi="Times New Roman" w:cs="Times New Roman"/>
          <w:bCs/>
          <w:kern w:val="0"/>
          <w:sz w:val="24"/>
          <w:szCs w:val="24"/>
          <w14:ligatures w14:val="none"/>
        </w:rPr>
        <w:t>indifference</w:t>
      </w:r>
      <w:proofErr w:type="gramEnd"/>
      <w:r w:rsidRPr="00EB307D">
        <w:rPr>
          <w:rFonts w:ascii="Times New Roman" w:eastAsia="Times New Roman" w:hAnsi="Times New Roman" w:cs="Times New Roman"/>
          <w:bCs/>
          <w:kern w:val="0"/>
          <w:sz w:val="24"/>
          <w:szCs w:val="24"/>
          <w14:ligatures w14:val="none"/>
        </w:rPr>
        <w:t xml:space="preserve"> curve as before. The spending change in response to prices, while holding constant the consumer’s wellbeing, is called the price effect (technically, because the consumer is located on the same indifference curve, this change is called the </w:t>
      </w:r>
      <w:proofErr w:type="spellStart"/>
      <w:r w:rsidRPr="00EB307D">
        <w:rPr>
          <w:rFonts w:ascii="Times New Roman" w:eastAsia="Times New Roman" w:hAnsi="Times New Roman" w:cs="Times New Roman"/>
          <w:bCs/>
          <w:kern w:val="0"/>
          <w:sz w:val="24"/>
          <w:szCs w:val="24"/>
          <w14:ligatures w14:val="none"/>
        </w:rPr>
        <w:t>Hicksian</w:t>
      </w:r>
      <w:proofErr w:type="spellEnd"/>
      <w:r w:rsidRPr="00EB307D">
        <w:rPr>
          <w:rFonts w:ascii="Times New Roman" w:eastAsia="Times New Roman" w:hAnsi="Times New Roman" w:cs="Times New Roman"/>
          <w:bCs/>
          <w:kern w:val="0"/>
          <w:sz w:val="24"/>
          <w:szCs w:val="24"/>
          <w14:ligatures w14:val="none"/>
        </w:rPr>
        <w:t xml:space="preserve"> price effect). In this hypothetical illustration, a lower food price leads the consumer to select about 2,600 g of food per day, much more than the consumer chose at the previous higher price. As noted in Box 6.3, this example was chosen because the relative price of food in the United States, compared to other goods, really did fall over the course of the twentieth century, which may have contributed to increased food consumption among Americans.</w:t>
      </w:r>
    </w:p>
    <w:p w14:paraId="5A4499FC"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14D42C8B"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EB307D">
        <w:rPr>
          <w:rFonts w:ascii="Times New Roman" w:eastAsia="Times New Roman" w:hAnsi="Times New Roman" w:cs="Times New Roman"/>
          <w:bCs/>
          <w:kern w:val="0"/>
          <w:sz w:val="24"/>
          <w:szCs w:val="24"/>
          <w14:ligatures w14:val="none"/>
        </w:rPr>
        <w:t>[Insert Figure S6.1 here]</w:t>
      </w:r>
    </w:p>
    <w:p w14:paraId="2ABD9BBA"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EB307D">
        <w:rPr>
          <w:rFonts w:ascii="Times New Roman" w:eastAsia="Times New Roman" w:hAnsi="Times New Roman" w:cs="Times New Roman"/>
          <w:bCs/>
          <w:kern w:val="0"/>
          <w:sz w:val="24"/>
          <w:szCs w:val="24"/>
          <w14:ligatures w14:val="none"/>
        </w:rPr>
        <w:t>[caption]</w:t>
      </w:r>
      <w:r w:rsidRPr="00EB307D">
        <w:rPr>
          <w:rFonts w:ascii="Times New Roman" w:eastAsia="Times New Roman" w:hAnsi="Times New Roman" w:cs="Times New Roman"/>
          <w:bCs/>
          <w:i/>
          <w:kern w:val="0"/>
          <w:sz w:val="24"/>
          <w:szCs w:val="24"/>
          <w14:ligatures w14:val="none"/>
        </w:rPr>
        <w:t>Figure S6.1</w:t>
      </w:r>
      <w:r w:rsidRPr="00EB307D">
        <w:rPr>
          <w:rFonts w:ascii="Times New Roman" w:eastAsia="Times New Roman" w:hAnsi="Times New Roman" w:cs="Times New Roman"/>
          <w:bCs/>
          <w:kern w:val="0"/>
          <w:sz w:val="24"/>
          <w:szCs w:val="24"/>
          <w14:ligatures w14:val="none"/>
        </w:rPr>
        <w:t xml:space="preserve"> The theory of consumer choice (with lower food prices)</w:t>
      </w:r>
    </w:p>
    <w:p w14:paraId="470BF022"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p>
    <w:p w14:paraId="30081FB8"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bCs/>
          <w:kern w:val="0"/>
          <w:sz w:val="24"/>
          <w:szCs w:val="24"/>
          <w14:ligatures w14:val="none"/>
        </w:rPr>
      </w:pPr>
      <w:r w:rsidRPr="00EB307D">
        <w:rPr>
          <w:rFonts w:ascii="Times New Roman" w:eastAsia="Times New Roman" w:hAnsi="Times New Roman" w:cs="Times New Roman"/>
          <w:bCs/>
          <w:kern w:val="0"/>
          <w:sz w:val="24"/>
          <w:szCs w:val="24"/>
          <w14:ligatures w14:val="none"/>
        </w:rPr>
        <w:lastRenderedPageBreak/>
        <w:t>Figure S6.1</w:t>
      </w:r>
    </w:p>
    <w:p w14:paraId="42B5A7BE" w14:textId="77777777" w:rsidR="00EB307D" w:rsidRPr="00EB307D" w:rsidRDefault="00EB307D" w:rsidP="00EB307D">
      <w:pPr>
        <w:widowControl w:val="0"/>
        <w:kinsoku w:val="0"/>
        <w:overflowPunct w:val="0"/>
        <w:spacing w:after="0" w:line="480" w:lineRule="auto"/>
        <w:jc w:val="both"/>
        <w:textAlignment w:val="baseline"/>
        <w:rPr>
          <w:rFonts w:ascii="Times New Roman" w:eastAsia="Times New Roman" w:hAnsi="Times New Roman" w:cs="Times New Roman"/>
          <w:kern w:val="0"/>
          <w:sz w:val="24"/>
          <w:szCs w:val="24"/>
          <w14:ligatures w14:val="none"/>
        </w:rPr>
      </w:pPr>
      <w:r w:rsidRPr="00EB307D">
        <w:rPr>
          <w:rFonts w:ascii="Times New Roman" w:eastAsia="Times New Roman" w:hAnsi="Times New Roman" w:cs="Times New Roman"/>
          <w:noProof/>
          <w:kern w:val="0"/>
          <w:sz w:val="24"/>
          <w:szCs w:val="24"/>
          <w14:ligatures w14:val="none"/>
        </w:rPr>
        <w:drawing>
          <wp:inline distT="0" distB="0" distL="0" distR="0" wp14:anchorId="4DF0EBF4" wp14:editId="5CE9C2E9">
            <wp:extent cx="5702060" cy="2940406"/>
            <wp:effectExtent l="0" t="0" r="0" b="0"/>
            <wp:docPr id="2" name="Picture 2" descr="A graph with a line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with a line and a lin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1838" cy="2945448"/>
                    </a:xfrm>
                    <a:prstGeom prst="rect">
                      <a:avLst/>
                    </a:prstGeom>
                    <a:noFill/>
                  </pic:spPr>
                </pic:pic>
              </a:graphicData>
            </a:graphic>
          </wp:inline>
        </w:drawing>
      </w:r>
    </w:p>
    <w:p w14:paraId="66A88124" w14:textId="77777777" w:rsidR="00222860" w:rsidRDefault="00222860"/>
    <w:sectPr w:rsidR="00222860" w:rsidSect="00EB307D">
      <w:footerReference w:type="default" r:id="rId5"/>
      <w:pgSz w:w="11909" w:h="16834" w:code="9"/>
      <w:pgMar w:top="1440" w:right="1440" w:bottom="1440" w:left="1440" w:header="720" w:footer="720" w:gutter="0"/>
      <w:cols w:space="720"/>
      <w:noEndnote/>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502587"/>
      <w:docPartObj>
        <w:docPartGallery w:val="Page Numbers (Bottom of Page)"/>
        <w:docPartUnique/>
      </w:docPartObj>
    </w:sdtPr>
    <w:sdtEndPr>
      <w:rPr>
        <w:noProof/>
      </w:rPr>
    </w:sdtEndPr>
    <w:sdtContent>
      <w:p w14:paraId="389E2C87" w14:textId="77777777" w:rsidR="00000000" w:rsidRDefault="00000000">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271EF875"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07D"/>
    <w:rsid w:val="00222860"/>
    <w:rsid w:val="005F6CCA"/>
    <w:rsid w:val="006B214A"/>
    <w:rsid w:val="00D67C8C"/>
    <w:rsid w:val="00DE3815"/>
    <w:rsid w:val="00E062B8"/>
    <w:rsid w:val="00EB3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6FAEB"/>
  <w15:chartTrackingRefBased/>
  <w15:docId w15:val="{8E827720-19CD-4E74-9613-C8923911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3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30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30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30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30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0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0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0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0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30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30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30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30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30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0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0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07D"/>
    <w:rPr>
      <w:rFonts w:eastAsiaTheme="majorEastAsia" w:cstheme="majorBidi"/>
      <w:color w:val="272727" w:themeColor="text1" w:themeTint="D8"/>
    </w:rPr>
  </w:style>
  <w:style w:type="paragraph" w:styleId="Title">
    <w:name w:val="Title"/>
    <w:basedOn w:val="Normal"/>
    <w:next w:val="Normal"/>
    <w:link w:val="TitleChar"/>
    <w:uiPriority w:val="10"/>
    <w:qFormat/>
    <w:rsid w:val="00EB3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0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0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0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07D"/>
    <w:pPr>
      <w:spacing w:before="160"/>
      <w:jc w:val="center"/>
    </w:pPr>
    <w:rPr>
      <w:i/>
      <w:iCs/>
      <w:color w:val="404040" w:themeColor="text1" w:themeTint="BF"/>
    </w:rPr>
  </w:style>
  <w:style w:type="character" w:customStyle="1" w:styleId="QuoteChar">
    <w:name w:val="Quote Char"/>
    <w:basedOn w:val="DefaultParagraphFont"/>
    <w:link w:val="Quote"/>
    <w:uiPriority w:val="29"/>
    <w:rsid w:val="00EB307D"/>
    <w:rPr>
      <w:i/>
      <w:iCs/>
      <w:color w:val="404040" w:themeColor="text1" w:themeTint="BF"/>
    </w:rPr>
  </w:style>
  <w:style w:type="paragraph" w:styleId="ListParagraph">
    <w:name w:val="List Paragraph"/>
    <w:basedOn w:val="Normal"/>
    <w:uiPriority w:val="34"/>
    <w:qFormat/>
    <w:rsid w:val="00EB307D"/>
    <w:pPr>
      <w:ind w:left="720"/>
      <w:contextualSpacing/>
    </w:pPr>
  </w:style>
  <w:style w:type="character" w:styleId="IntenseEmphasis">
    <w:name w:val="Intense Emphasis"/>
    <w:basedOn w:val="DefaultParagraphFont"/>
    <w:uiPriority w:val="21"/>
    <w:qFormat/>
    <w:rsid w:val="00EB307D"/>
    <w:rPr>
      <w:i/>
      <w:iCs/>
      <w:color w:val="0F4761" w:themeColor="accent1" w:themeShade="BF"/>
    </w:rPr>
  </w:style>
  <w:style w:type="paragraph" w:styleId="IntenseQuote">
    <w:name w:val="Intense Quote"/>
    <w:basedOn w:val="Normal"/>
    <w:next w:val="Normal"/>
    <w:link w:val="IntenseQuoteChar"/>
    <w:uiPriority w:val="30"/>
    <w:qFormat/>
    <w:rsid w:val="00EB3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07D"/>
    <w:rPr>
      <w:i/>
      <w:iCs/>
      <w:color w:val="0F4761" w:themeColor="accent1" w:themeShade="BF"/>
    </w:rPr>
  </w:style>
  <w:style w:type="character" w:styleId="IntenseReference">
    <w:name w:val="Intense Reference"/>
    <w:basedOn w:val="DefaultParagraphFont"/>
    <w:uiPriority w:val="32"/>
    <w:qFormat/>
    <w:rsid w:val="00EB307D"/>
    <w:rPr>
      <w:b/>
      <w:bCs/>
      <w:smallCaps/>
      <w:color w:val="0F4761" w:themeColor="accent1" w:themeShade="BF"/>
      <w:spacing w:val="5"/>
    </w:rPr>
  </w:style>
  <w:style w:type="paragraph" w:styleId="Footer">
    <w:name w:val="footer"/>
    <w:basedOn w:val="Normal"/>
    <w:link w:val="FooterChar"/>
    <w:uiPriority w:val="99"/>
    <w:rsid w:val="00EB307D"/>
    <w:pPr>
      <w:widowControl w:val="0"/>
      <w:tabs>
        <w:tab w:val="center" w:pos="4680"/>
        <w:tab w:val="right" w:pos="9360"/>
      </w:tabs>
      <w:kinsoku w:val="0"/>
      <w:overflowPunct w:val="0"/>
      <w:spacing w:after="0" w:line="240" w:lineRule="auto"/>
      <w:textAlignment w:val="baseline"/>
    </w:pPr>
    <w:rPr>
      <w:rFonts w:ascii="Times New Roman" w:eastAsia="Times New Roman" w:hAnsi="Times New Roman" w:cs="Times New Roman"/>
      <w:kern w:val="0"/>
      <w:sz w:val="24"/>
      <w:szCs w:val="24"/>
    </w:rPr>
  </w:style>
  <w:style w:type="character" w:customStyle="1" w:styleId="FooterChar">
    <w:name w:val="Footer Char"/>
    <w:basedOn w:val="DefaultParagraphFont"/>
    <w:link w:val="Footer"/>
    <w:uiPriority w:val="99"/>
    <w:rsid w:val="00EB307D"/>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2025-02-16T22:53:00Z</dcterms:created>
  <dcterms:modified xsi:type="dcterms:W3CDTF">2025-02-16T22:53:00Z</dcterms:modified>
</cp:coreProperties>
</file>