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A72DCA" w14:textId="77777777" w:rsidR="009433C9" w:rsidRDefault="00000000">
      <w:r>
        <w:t>Chapter 3 Free reading</w:t>
      </w:r>
    </w:p>
    <w:p w14:paraId="49A72DCB" w14:textId="77777777" w:rsidR="009433C9" w:rsidRDefault="009433C9"/>
    <w:p w14:paraId="49A72DCC" w14:textId="77777777" w:rsidR="009433C9" w:rsidRDefault="00000000">
      <w:r>
        <w:t>Newmark’s semantic and communicative translation (from ITS5, pp. 59-61)</w:t>
      </w:r>
    </w:p>
    <w:p w14:paraId="49A72DCD" w14:textId="77777777" w:rsidR="009433C9" w:rsidRDefault="00000000">
      <w:pPr>
        <w:widowControl w:val="0"/>
        <w:tabs>
          <w:tab w:val="left" w:pos="470"/>
        </w:tabs>
        <w:spacing w:before="172" w:line="240" w:lineRule="auto"/>
        <w:rPr>
          <w:rFonts w:ascii="Gill Sans" w:eastAsia="Gill Sans" w:hAnsi="Gill Sans" w:cs="Gill Sans"/>
          <w:b/>
          <w:bCs/>
          <w:sz w:val="18"/>
          <w:szCs w:val="18"/>
        </w:rPr>
      </w:pPr>
      <w:r>
        <w:rPr>
          <w:rFonts w:ascii="Gill Sans" w:eastAsia="Gill Sans" w:hAnsi="Gill Sans" w:cs="Gill Sans"/>
          <w:b/>
          <w:bCs/>
          <w:color w:val="00ACC8"/>
          <w:sz w:val="18"/>
          <w:szCs w:val="18"/>
        </w:rPr>
        <w:t>Newmark: semantic and communicative translation</w:t>
      </w:r>
    </w:p>
    <w:p w14:paraId="49A72DCE" w14:textId="77777777" w:rsidR="009433C9" w:rsidRDefault="00000000">
      <w:pPr>
        <w:widowControl w:val="0"/>
        <w:spacing w:before="19" w:line="252" w:lineRule="auto"/>
        <w:ind w:left="124" w:right="677"/>
        <w:jc w:val="both"/>
        <w:rPr>
          <w:rFonts w:ascii="Cambria" w:eastAsia="Cambria" w:hAnsi="Cambria" w:cs="Cambria"/>
          <w:sz w:val="20"/>
          <w:szCs w:val="20"/>
        </w:rPr>
      </w:pPr>
      <w:r>
        <w:rPr>
          <w:rFonts w:ascii="Cambria" w:eastAsia="Cambria" w:hAnsi="Cambria" w:cs="Cambria"/>
          <w:color w:val="231F20"/>
          <w:sz w:val="20"/>
          <w:szCs w:val="20"/>
        </w:rPr>
        <w:t xml:space="preserve">Peter Newmark’s (1916–2011) </w:t>
      </w:r>
      <w:r>
        <w:rPr>
          <w:rFonts w:ascii="Book Antiqua" w:eastAsia="Book Antiqua" w:hAnsi="Book Antiqua" w:cs="Book Antiqua"/>
          <w:i/>
          <w:iCs/>
          <w:color w:val="231F20"/>
          <w:sz w:val="20"/>
          <w:szCs w:val="20"/>
        </w:rPr>
        <w:t xml:space="preserve">Approaches to Translation </w:t>
      </w:r>
      <w:r>
        <w:rPr>
          <w:rFonts w:ascii="Cambria" w:eastAsia="Cambria" w:hAnsi="Cambria" w:cs="Cambria"/>
          <w:color w:val="231F20"/>
          <w:sz w:val="20"/>
          <w:szCs w:val="20"/>
        </w:rPr>
        <w:t xml:space="preserve">(1981) and </w:t>
      </w:r>
      <w:r>
        <w:rPr>
          <w:rFonts w:ascii="Book Antiqua" w:eastAsia="Book Antiqua" w:hAnsi="Book Antiqua" w:cs="Book Antiqua"/>
          <w:i/>
          <w:iCs/>
          <w:color w:val="231F20"/>
          <w:sz w:val="20"/>
          <w:szCs w:val="20"/>
        </w:rPr>
        <w:t xml:space="preserve">A Textbook of Translation </w:t>
      </w:r>
      <w:r>
        <w:rPr>
          <w:rFonts w:ascii="Cambria" w:eastAsia="Cambria" w:hAnsi="Cambria" w:cs="Cambria"/>
          <w:color w:val="231F20"/>
          <w:sz w:val="20"/>
          <w:szCs w:val="20"/>
        </w:rPr>
        <w:t>(1988) have been widely used on translator training courses and combine a wealth of practical examples of linguistic theories of meaning with practical applications for translation. Yet Newmark departs from Nida’s receptor-oriented line. He feels that the success of equivalent effect is ‘illusory’ and that ‘the conflict of loyalties, the gap between emphasis on source and target language, will always remain as the overriding problem in translation theory and practice’ (Newmark 1981: 38). Newmark suggests narrowing the gap by replacing the old terms with those of ‘semantic’ and ‘communicative’ translation:</w:t>
      </w:r>
    </w:p>
    <w:p w14:paraId="49A72DCF" w14:textId="77777777" w:rsidR="009433C9" w:rsidRDefault="009433C9">
      <w:pPr>
        <w:widowControl w:val="0"/>
        <w:spacing w:before="2" w:line="240" w:lineRule="auto"/>
        <w:rPr>
          <w:rFonts w:ascii="Cambria" w:eastAsia="Cambria" w:hAnsi="Cambria" w:cs="Cambria"/>
        </w:rPr>
      </w:pPr>
    </w:p>
    <w:p w14:paraId="49A72DD0" w14:textId="77777777" w:rsidR="009433C9" w:rsidRDefault="00000000">
      <w:pPr>
        <w:widowControl w:val="0"/>
        <w:spacing w:line="256" w:lineRule="auto"/>
        <w:ind w:left="604" w:right="677"/>
        <w:jc w:val="both"/>
        <w:rPr>
          <w:rFonts w:ascii="Cambria" w:eastAsia="Cambria" w:hAnsi="Cambria" w:cs="Cambria"/>
          <w:sz w:val="20"/>
          <w:szCs w:val="20"/>
        </w:rPr>
      </w:pPr>
      <w:r>
        <w:rPr>
          <w:rFonts w:ascii="Cambria" w:eastAsia="Cambria" w:hAnsi="Cambria" w:cs="Cambria"/>
          <w:color w:val="231F20"/>
          <w:sz w:val="20"/>
          <w:szCs w:val="20"/>
        </w:rPr>
        <w:t>Communicative translation attempts to produce on its readers an effect as close as possible to that obtained on the readers of the original. Semantic translation attempts to render, as closely as the semantic and syntactic structures of the second language allow, the exact contextual meaning of the original.</w:t>
      </w:r>
    </w:p>
    <w:p w14:paraId="49A72DD1" w14:textId="77777777" w:rsidR="009433C9" w:rsidRDefault="00000000">
      <w:pPr>
        <w:widowControl w:val="0"/>
        <w:spacing w:before="2" w:line="240" w:lineRule="auto"/>
        <w:ind w:left="214" w:right="678"/>
        <w:jc w:val="right"/>
        <w:rPr>
          <w:rFonts w:ascii="Book Antiqua" w:eastAsia="Book Antiqua" w:hAnsi="Book Antiqua" w:cs="Book Antiqua"/>
          <w:i/>
          <w:iCs/>
          <w:sz w:val="20"/>
          <w:szCs w:val="20"/>
        </w:rPr>
      </w:pPr>
      <w:r>
        <w:rPr>
          <w:rFonts w:ascii="Book Antiqua" w:eastAsia="Book Antiqua" w:hAnsi="Book Antiqua" w:cs="Book Antiqua"/>
          <w:i/>
          <w:iCs/>
          <w:color w:val="231F20"/>
          <w:sz w:val="20"/>
          <w:szCs w:val="20"/>
        </w:rPr>
        <w:t>(Newmark 1981: 39)</w:t>
      </w:r>
    </w:p>
    <w:p w14:paraId="49A72DD2" w14:textId="77777777" w:rsidR="009433C9" w:rsidRDefault="009433C9">
      <w:pPr>
        <w:widowControl w:val="0"/>
        <w:spacing w:line="240" w:lineRule="auto"/>
        <w:rPr>
          <w:rFonts w:ascii="Book Antiqua" w:eastAsia="Book Antiqua" w:hAnsi="Book Antiqua" w:cs="Book Antiqua"/>
          <w:i/>
          <w:iCs/>
          <w:sz w:val="21"/>
          <w:szCs w:val="21"/>
        </w:rPr>
      </w:pPr>
    </w:p>
    <w:p w14:paraId="49A72DD3" w14:textId="77777777" w:rsidR="009433C9" w:rsidRDefault="00000000">
      <w:pPr>
        <w:widowControl w:val="0"/>
        <w:spacing w:before="1" w:line="256" w:lineRule="auto"/>
        <w:ind w:left="124" w:right="677"/>
        <w:jc w:val="both"/>
        <w:rPr>
          <w:rFonts w:ascii="Cambria" w:eastAsia="Cambria" w:hAnsi="Cambria" w:cs="Cambria"/>
          <w:sz w:val="20"/>
          <w:szCs w:val="20"/>
        </w:rPr>
      </w:pPr>
      <w:r>
        <w:rPr>
          <w:rFonts w:ascii="Cambria" w:eastAsia="Cambria" w:hAnsi="Cambria" w:cs="Cambria"/>
          <w:color w:val="231F20"/>
          <w:sz w:val="20"/>
          <w:szCs w:val="20"/>
        </w:rPr>
        <w:t xml:space="preserve">This description of </w:t>
      </w:r>
      <w:r>
        <w:rPr>
          <w:rFonts w:ascii="Cambria" w:eastAsia="Cambria" w:hAnsi="Cambria" w:cs="Cambria"/>
          <w:b/>
          <w:bCs/>
          <w:color w:val="00ACC8"/>
          <w:sz w:val="20"/>
          <w:szCs w:val="20"/>
        </w:rPr>
        <w:t xml:space="preserve">communicative translation </w:t>
      </w:r>
      <w:r>
        <w:rPr>
          <w:rFonts w:ascii="Cambria" w:eastAsia="Cambria" w:hAnsi="Cambria" w:cs="Cambria"/>
          <w:color w:val="231F20"/>
          <w:sz w:val="20"/>
          <w:szCs w:val="20"/>
        </w:rPr>
        <w:t xml:space="preserve">resembles Nida’s dynamic equivalence in the effect it is trying to create on the TT reader, while </w:t>
      </w:r>
      <w:r>
        <w:rPr>
          <w:rFonts w:ascii="Cambria" w:eastAsia="Cambria" w:hAnsi="Cambria" w:cs="Cambria"/>
          <w:b/>
          <w:bCs/>
          <w:color w:val="00ACC8"/>
          <w:sz w:val="20"/>
          <w:szCs w:val="20"/>
        </w:rPr>
        <w:t xml:space="preserve">semantic translation </w:t>
      </w:r>
      <w:r>
        <w:rPr>
          <w:rFonts w:ascii="Cambria" w:eastAsia="Cambria" w:hAnsi="Cambria" w:cs="Cambria"/>
          <w:color w:val="231F20"/>
          <w:sz w:val="20"/>
          <w:szCs w:val="20"/>
        </w:rPr>
        <w:t>has simi- larities to Nida’s formal equivalence. However, Newmark distances himself from the full principle of equivalent effect, since that effect ‘is inoperant if the text is out of TL space and time’ (1981: 69). An example would be a modern British English translation of Homer. No modern translator, irrespective of the TL, can possibly hope or expect to produce the same effect on the reader of the written TT as the oral ST had on its listen- ers in ancient Greece. Newmark (ibid.: 51) also raises further questions concerning the readers to whom Nida directs his dynamic equivalence, asking if they are ‘to be handed everything on a plate’, with everything explained for them.</w:t>
      </w:r>
    </w:p>
    <w:p w14:paraId="49A72DD4" w14:textId="77777777" w:rsidR="009433C9" w:rsidRDefault="00000000">
      <w:pPr>
        <w:widowControl w:val="0"/>
        <w:spacing w:line="256" w:lineRule="auto"/>
        <w:ind w:left="124" w:right="678" w:firstLine="240"/>
        <w:jc w:val="both"/>
        <w:rPr>
          <w:rFonts w:ascii="Cambria" w:eastAsia="Cambria" w:hAnsi="Cambria" w:cs="Cambria"/>
          <w:sz w:val="20"/>
          <w:szCs w:val="20"/>
        </w:rPr>
        <w:sectPr w:rsidR="009433C9">
          <w:footerReference w:type="even" r:id="rId6"/>
          <w:footerReference w:type="default" r:id="rId7"/>
          <w:footerReference w:type="first" r:id="rId8"/>
          <w:pgSz w:w="12240" w:h="15840"/>
          <w:pgMar w:top="1440" w:right="1440" w:bottom="1440" w:left="1440" w:header="720" w:footer="720" w:gutter="0"/>
          <w:pgNumType w:start="1"/>
          <w:cols w:space="720"/>
        </w:sectPr>
      </w:pPr>
      <w:r>
        <w:rPr>
          <w:rFonts w:ascii="Cambria" w:eastAsia="Cambria" w:hAnsi="Cambria" w:cs="Cambria"/>
          <w:color w:val="231F20"/>
          <w:sz w:val="20"/>
          <w:szCs w:val="20"/>
        </w:rPr>
        <w:t>Other differences are revealed by Newmark’s definitions of his own terms (ibid.: 39–69), summarized in Table 3.2. Newmark (ibid.: 63) indicates that semantic trans- lation differs from literal translation in that it ‘respects context’, interprets and even explains (metaphors, for instance). On the other hand, as we saw in Chapter 2, literal</w:t>
      </w:r>
    </w:p>
    <w:p w14:paraId="49A72DD5" w14:textId="77777777" w:rsidR="009433C9" w:rsidRDefault="009433C9">
      <w:pPr>
        <w:widowControl w:val="0"/>
        <w:spacing w:line="240" w:lineRule="auto"/>
        <w:rPr>
          <w:rFonts w:ascii="Cambria" w:eastAsia="Cambria" w:hAnsi="Cambria" w:cs="Cambria"/>
          <w:sz w:val="20"/>
          <w:szCs w:val="20"/>
        </w:rPr>
      </w:pPr>
    </w:p>
    <w:p w14:paraId="49A72DD6" w14:textId="77777777" w:rsidR="009433C9" w:rsidRDefault="00000000">
      <w:pPr>
        <w:widowControl w:val="0"/>
        <w:spacing w:before="99" w:line="240" w:lineRule="auto"/>
        <w:ind w:left="322"/>
        <w:rPr>
          <w:rFonts w:ascii="Cambria" w:eastAsia="Cambria" w:hAnsi="Cambria" w:cs="Cambria"/>
          <w:sz w:val="20"/>
          <w:szCs w:val="20"/>
        </w:rPr>
      </w:pPr>
      <w:r>
        <w:rPr>
          <w:rFonts w:ascii="Gill Sans" w:eastAsia="Gill Sans" w:hAnsi="Gill Sans" w:cs="Gill Sans"/>
          <w:b/>
          <w:bCs/>
          <w:color w:val="00ACC8"/>
          <w:sz w:val="16"/>
          <w:szCs w:val="16"/>
        </w:rPr>
        <w:t xml:space="preserve">Table 3.2 </w:t>
      </w:r>
      <w:r>
        <w:rPr>
          <w:rFonts w:ascii="Cambria" w:eastAsia="Cambria" w:hAnsi="Cambria" w:cs="Cambria"/>
          <w:color w:val="231F20"/>
          <w:sz w:val="20"/>
          <w:szCs w:val="20"/>
        </w:rPr>
        <w:t>Comparison of Newmark’s semantic and communicative translation</w:t>
      </w:r>
    </w:p>
    <w:p w14:paraId="49A72DD7" w14:textId="77777777" w:rsidR="009433C9" w:rsidRDefault="00000000">
      <w:pPr>
        <w:widowControl w:val="0"/>
        <w:spacing w:before="7" w:line="240" w:lineRule="auto"/>
        <w:rPr>
          <w:rFonts w:ascii="Cambria" w:eastAsia="Cambria" w:hAnsi="Cambria" w:cs="Cambria"/>
          <w:sz w:val="8"/>
          <w:szCs w:val="8"/>
        </w:rPr>
      </w:pPr>
      <w:r>
        <w:rPr>
          <w:noProof/>
        </w:rPr>
        <mc:AlternateContent>
          <mc:Choice Requires="wpg">
            <w:drawing>
              <wp:anchor distT="0" distB="0" distL="0" distR="0" simplePos="0" relativeHeight="251658240" behindDoc="0" locked="0" layoutInCell="1" hidden="0" allowOverlap="1" wp14:anchorId="49A72E15" wp14:editId="49A72E16">
                <wp:simplePos x="0" y="0"/>
                <wp:positionH relativeFrom="column">
                  <wp:posOffset>203200</wp:posOffset>
                </wp:positionH>
                <wp:positionV relativeFrom="paragraph">
                  <wp:posOffset>76200</wp:posOffset>
                </wp:positionV>
                <wp:extent cx="4763135" cy="12700"/>
                <wp:effectExtent l="0" t="0" r="0" b="0"/>
                <wp:wrapTopAndBottom distT="0" distB="0"/>
                <wp:docPr id="3" name="Group 3"/>
                <wp:cNvGraphicFramePr/>
                <a:graphic xmlns:a="http://schemas.openxmlformats.org/drawingml/2006/main">
                  <a:graphicData uri="http://schemas.microsoft.com/office/word/2010/wordprocessingGroup">
                    <wpg:wgp>
                      <wpg:cNvGrpSpPr/>
                      <wpg:grpSpPr>
                        <a:xfrm>
                          <a:off x="0" y="0"/>
                          <a:ext cx="4763135" cy="12700"/>
                          <a:chOff x="2964425" y="3773625"/>
                          <a:chExt cx="4763150" cy="12750"/>
                        </a:xfrm>
                      </wpg:grpSpPr>
                      <wpg:grpSp>
                        <wpg:cNvPr id="1034122403" name="Group 1034122403"/>
                        <wpg:cNvGrpSpPr/>
                        <wpg:grpSpPr>
                          <a:xfrm>
                            <a:off x="2964433" y="3773650"/>
                            <a:ext cx="4763135" cy="12700"/>
                            <a:chOff x="2964425" y="3773625"/>
                            <a:chExt cx="4763150" cy="12750"/>
                          </a:xfrm>
                        </wpg:grpSpPr>
                        <wps:wsp>
                          <wps:cNvPr id="1234911596" name="Rectangle 1234911596"/>
                          <wps:cNvSpPr/>
                          <wps:spPr>
                            <a:xfrm>
                              <a:off x="2964425" y="3773625"/>
                              <a:ext cx="4763150" cy="12750"/>
                            </a:xfrm>
                            <a:prstGeom prst="rect">
                              <a:avLst/>
                            </a:prstGeom>
                            <a:noFill/>
                            <a:ln>
                              <a:noFill/>
                            </a:ln>
                          </wps:spPr>
                          <wps:txbx>
                            <w:txbxContent>
                              <w:p w14:paraId="49A72E1B" w14:textId="77777777" w:rsidR="009433C9" w:rsidRDefault="009433C9">
                                <w:pPr>
                                  <w:spacing w:line="240" w:lineRule="auto"/>
                                  <w:textDirection w:val="btLr"/>
                                </w:pPr>
                              </w:p>
                            </w:txbxContent>
                          </wps:txbx>
                          <wps:bodyPr spcFirstLastPara="1" wrap="square" lIns="91425" tIns="91425" rIns="91425" bIns="91425" anchor="ctr" anchorCtr="0">
                            <a:noAutofit/>
                          </wps:bodyPr>
                        </wps:wsp>
                        <wpg:grpSp>
                          <wpg:cNvPr id="23265474" name="Group 23265474"/>
                          <wpg:cNvGrpSpPr/>
                          <wpg:grpSpPr>
                            <a:xfrm>
                              <a:off x="2964433" y="3773650"/>
                              <a:ext cx="4763125" cy="12700"/>
                              <a:chOff x="0" y="0"/>
                              <a:chExt cx="4763125" cy="12700"/>
                            </a:xfrm>
                          </wpg:grpSpPr>
                          <wps:wsp>
                            <wps:cNvPr id="1163475568" name="Rectangle 1163475568"/>
                            <wps:cNvSpPr/>
                            <wps:spPr>
                              <a:xfrm>
                                <a:off x="0" y="0"/>
                                <a:ext cx="4763125" cy="12700"/>
                              </a:xfrm>
                              <a:prstGeom prst="rect">
                                <a:avLst/>
                              </a:prstGeom>
                              <a:noFill/>
                              <a:ln>
                                <a:noFill/>
                              </a:ln>
                            </wps:spPr>
                            <wps:txbx>
                              <w:txbxContent>
                                <w:p w14:paraId="49A72E1C" w14:textId="77777777" w:rsidR="009433C9" w:rsidRDefault="009433C9">
                                  <w:pPr>
                                    <w:spacing w:line="240" w:lineRule="auto"/>
                                    <w:textDirection w:val="btLr"/>
                                  </w:pPr>
                                </w:p>
                              </w:txbxContent>
                            </wps:txbx>
                            <wps:bodyPr spcFirstLastPara="1" wrap="square" lIns="91425" tIns="91425" rIns="91425" bIns="91425" anchor="ctr" anchorCtr="0">
                              <a:noAutofit/>
                            </wps:bodyPr>
                          </wps:wsp>
                          <wps:wsp>
                            <wps:cNvPr id="1708676178" name="Freeform: Shape 1708676178"/>
                            <wps:cNvSpPr/>
                            <wps:spPr>
                              <a:xfrm>
                                <a:off x="0" y="6350"/>
                                <a:ext cx="1229360" cy="1270"/>
                              </a:xfrm>
                              <a:custGeom>
                                <a:avLst/>
                                <a:gdLst/>
                                <a:ahLst/>
                                <a:cxnLst/>
                                <a:rect l="l" t="t" r="r" b="b"/>
                                <a:pathLst>
                                  <a:path w="1229360" h="120000" extrusionOk="0">
                                    <a:moveTo>
                                      <a:pt x="0" y="0"/>
                                    </a:moveTo>
                                    <a:lnTo>
                                      <a:pt x="1229296" y="0"/>
                                    </a:lnTo>
                                  </a:path>
                                </a:pathLst>
                              </a:custGeom>
                              <a:noFill/>
                              <a:ln w="12700" cap="flat" cmpd="sng">
                                <a:solidFill>
                                  <a:srgbClr val="00ACC8"/>
                                </a:solidFill>
                                <a:prstDash val="solid"/>
                                <a:round/>
                                <a:headEnd type="none" w="sm" len="sm"/>
                                <a:tailEnd type="none" w="sm" len="sm"/>
                              </a:ln>
                            </wps:spPr>
                            <wps:bodyPr spcFirstLastPara="1" wrap="square" lIns="91425" tIns="91425" rIns="91425" bIns="91425" anchor="ctr" anchorCtr="0">
                              <a:noAutofit/>
                            </wps:bodyPr>
                          </wps:wsp>
                          <wps:wsp>
                            <wps:cNvPr id="1193690861" name="Freeform: Shape 1193690861"/>
                            <wps:cNvSpPr/>
                            <wps:spPr>
                              <a:xfrm>
                                <a:off x="1229296" y="6350"/>
                                <a:ext cx="1685289" cy="1270"/>
                              </a:xfrm>
                              <a:custGeom>
                                <a:avLst/>
                                <a:gdLst/>
                                <a:ahLst/>
                                <a:cxnLst/>
                                <a:rect l="l" t="t" r="r" b="b"/>
                                <a:pathLst>
                                  <a:path w="1685289" h="120000" extrusionOk="0">
                                    <a:moveTo>
                                      <a:pt x="0" y="0"/>
                                    </a:moveTo>
                                    <a:lnTo>
                                      <a:pt x="1685137" y="0"/>
                                    </a:lnTo>
                                  </a:path>
                                </a:pathLst>
                              </a:custGeom>
                              <a:noFill/>
                              <a:ln w="12700" cap="flat" cmpd="sng">
                                <a:solidFill>
                                  <a:srgbClr val="00ACC8"/>
                                </a:solidFill>
                                <a:prstDash val="solid"/>
                                <a:round/>
                                <a:headEnd type="none" w="sm" len="sm"/>
                                <a:tailEnd type="none" w="sm" len="sm"/>
                              </a:ln>
                            </wps:spPr>
                            <wps:bodyPr spcFirstLastPara="1" wrap="square" lIns="91425" tIns="91425" rIns="91425" bIns="91425" anchor="ctr" anchorCtr="0">
                              <a:noAutofit/>
                            </wps:bodyPr>
                          </wps:wsp>
                          <wps:wsp>
                            <wps:cNvPr id="1171172476" name="Freeform: Shape 1171172476"/>
                            <wps:cNvSpPr/>
                            <wps:spPr>
                              <a:xfrm>
                                <a:off x="2914431" y="6350"/>
                                <a:ext cx="1848485" cy="1270"/>
                              </a:xfrm>
                              <a:custGeom>
                                <a:avLst/>
                                <a:gdLst/>
                                <a:ahLst/>
                                <a:cxnLst/>
                                <a:rect l="l" t="t" r="r" b="b"/>
                                <a:pathLst>
                                  <a:path w="1848485" h="120000" extrusionOk="0">
                                    <a:moveTo>
                                      <a:pt x="0" y="0"/>
                                    </a:moveTo>
                                    <a:lnTo>
                                      <a:pt x="1848319" y="0"/>
                                    </a:lnTo>
                                  </a:path>
                                </a:pathLst>
                              </a:custGeom>
                              <a:noFill/>
                              <a:ln w="12700" cap="flat" cmpd="sng">
                                <a:solidFill>
                                  <a:srgbClr val="00ACC8"/>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203200</wp:posOffset>
                </wp:positionH>
                <wp:positionV relativeFrom="paragraph">
                  <wp:posOffset>76200</wp:posOffset>
                </wp:positionV>
                <wp:extent cx="4763135"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4763135" cy="12700"/>
                        </a:xfrm>
                        <a:prstGeom prst="rect"/>
                        <a:ln/>
                      </pic:spPr>
                    </pic:pic>
                  </a:graphicData>
                </a:graphic>
              </wp:anchor>
            </w:drawing>
          </mc:Fallback>
        </mc:AlternateContent>
      </w:r>
    </w:p>
    <w:p w14:paraId="49A72DD8" w14:textId="77777777" w:rsidR="009433C9" w:rsidRDefault="00000000">
      <w:pPr>
        <w:widowControl w:val="0"/>
        <w:tabs>
          <w:tab w:val="left" w:pos="2257"/>
          <w:tab w:val="left" w:pos="4911"/>
        </w:tabs>
        <w:spacing w:before="81" w:line="240" w:lineRule="auto"/>
        <w:ind w:left="322"/>
        <w:rPr>
          <w:rFonts w:ascii="Book Antiqua" w:eastAsia="Book Antiqua" w:hAnsi="Book Antiqua" w:cs="Book Antiqua"/>
          <w:i/>
          <w:iCs/>
          <w:sz w:val="18"/>
          <w:szCs w:val="18"/>
        </w:rPr>
        <w:sectPr w:rsidR="009433C9">
          <w:pgSz w:w="12240" w:h="15840"/>
          <w:pgMar w:top="880" w:right="600" w:bottom="700" w:left="960" w:header="687" w:footer="506" w:gutter="0"/>
          <w:cols w:space="720"/>
        </w:sectPr>
      </w:pPr>
      <w:r>
        <w:rPr>
          <w:rFonts w:ascii="Book Antiqua" w:eastAsia="Book Antiqua" w:hAnsi="Book Antiqua" w:cs="Book Antiqua"/>
          <w:i/>
          <w:iCs/>
          <w:color w:val="231F20"/>
          <w:sz w:val="18"/>
          <w:szCs w:val="18"/>
        </w:rPr>
        <w:t>Parameter</w:t>
      </w:r>
      <w:r>
        <w:rPr>
          <w:rFonts w:ascii="Book Antiqua" w:eastAsia="Book Antiqua" w:hAnsi="Book Antiqua" w:cs="Book Antiqua"/>
          <w:i/>
          <w:iCs/>
          <w:color w:val="231F20"/>
          <w:sz w:val="18"/>
          <w:szCs w:val="18"/>
        </w:rPr>
        <w:tab/>
        <w:t xml:space="preserve">           Semantic translation</w:t>
      </w:r>
      <w:r>
        <w:rPr>
          <w:rFonts w:ascii="Book Antiqua" w:eastAsia="Book Antiqua" w:hAnsi="Book Antiqua" w:cs="Book Antiqua"/>
          <w:i/>
          <w:iCs/>
          <w:color w:val="231F20"/>
          <w:sz w:val="18"/>
          <w:szCs w:val="18"/>
        </w:rPr>
        <w:tab/>
      </w:r>
      <w:r>
        <w:rPr>
          <w:rFonts w:ascii="Book Antiqua" w:eastAsia="Book Antiqua" w:hAnsi="Book Antiqua" w:cs="Book Antiqua"/>
          <w:i/>
          <w:iCs/>
          <w:color w:val="231F20"/>
          <w:sz w:val="18"/>
          <w:szCs w:val="18"/>
        </w:rPr>
        <w:tab/>
      </w:r>
      <w:r>
        <w:rPr>
          <w:rFonts w:ascii="Book Antiqua" w:eastAsia="Book Antiqua" w:hAnsi="Book Antiqua" w:cs="Book Antiqua"/>
          <w:i/>
          <w:iCs/>
          <w:color w:val="231F20"/>
          <w:sz w:val="18"/>
          <w:szCs w:val="18"/>
        </w:rPr>
        <w:tab/>
        <w:t>Communicative translation</w:t>
      </w:r>
    </w:p>
    <w:p w14:paraId="49A72DD9" w14:textId="77777777" w:rsidR="009433C9" w:rsidRDefault="00000000">
      <w:pPr>
        <w:widowControl w:val="0"/>
        <w:spacing w:before="156" w:line="261" w:lineRule="auto"/>
        <w:ind w:left="542" w:hanging="220"/>
        <w:rPr>
          <w:rFonts w:ascii="Cambria" w:eastAsia="Cambria" w:hAnsi="Cambria" w:cs="Cambria"/>
          <w:color w:val="231F20"/>
          <w:sz w:val="18"/>
          <w:szCs w:val="18"/>
        </w:rPr>
      </w:pPr>
      <w:r>
        <w:rPr>
          <w:rFonts w:ascii="Cambria" w:eastAsia="Cambria" w:hAnsi="Cambria" w:cs="Cambria"/>
          <w:color w:val="231F20"/>
          <w:sz w:val="18"/>
          <w:szCs w:val="18"/>
        </w:rPr>
        <w:t>Transmitter/addressee</w:t>
      </w:r>
      <w:r>
        <w:rPr>
          <w:noProof/>
        </w:rPr>
        <mc:AlternateContent>
          <mc:Choice Requires="wpg">
            <w:drawing>
              <wp:anchor distT="0" distB="0" distL="0" distR="0" simplePos="0" relativeHeight="251659264" behindDoc="0" locked="0" layoutInCell="1" hidden="0" allowOverlap="1" wp14:anchorId="49A72E17" wp14:editId="49A72E18">
                <wp:simplePos x="0" y="0"/>
                <wp:positionH relativeFrom="column">
                  <wp:posOffset>203200</wp:posOffset>
                </wp:positionH>
                <wp:positionV relativeFrom="paragraph">
                  <wp:posOffset>38100</wp:posOffset>
                </wp:positionV>
                <wp:extent cx="4763135" cy="6350"/>
                <wp:effectExtent l="0" t="0" r="0" b="0"/>
                <wp:wrapNone/>
                <wp:docPr id="1" name="Group 1"/>
                <wp:cNvGraphicFramePr/>
                <a:graphic xmlns:a="http://schemas.openxmlformats.org/drawingml/2006/main">
                  <a:graphicData uri="http://schemas.microsoft.com/office/word/2010/wordprocessingGroup">
                    <wpg:wgp>
                      <wpg:cNvGrpSpPr/>
                      <wpg:grpSpPr>
                        <a:xfrm>
                          <a:off x="0" y="0"/>
                          <a:ext cx="4763135" cy="6350"/>
                          <a:chOff x="2964425" y="3775225"/>
                          <a:chExt cx="4763150" cy="9550"/>
                        </a:xfrm>
                      </wpg:grpSpPr>
                      <wpg:grpSp>
                        <wpg:cNvPr id="1121368186" name="Group 1121368186"/>
                        <wpg:cNvGrpSpPr/>
                        <wpg:grpSpPr>
                          <a:xfrm>
                            <a:off x="2964433" y="3776825"/>
                            <a:ext cx="4763135" cy="6350"/>
                            <a:chOff x="2964425" y="3775225"/>
                            <a:chExt cx="4763150" cy="9550"/>
                          </a:xfrm>
                        </wpg:grpSpPr>
                        <wps:wsp>
                          <wps:cNvPr id="1823534183" name="Rectangle 1823534183"/>
                          <wps:cNvSpPr/>
                          <wps:spPr>
                            <a:xfrm>
                              <a:off x="2964425" y="3775225"/>
                              <a:ext cx="4763150" cy="9550"/>
                            </a:xfrm>
                            <a:prstGeom prst="rect">
                              <a:avLst/>
                            </a:prstGeom>
                            <a:noFill/>
                            <a:ln>
                              <a:noFill/>
                            </a:ln>
                          </wps:spPr>
                          <wps:txbx>
                            <w:txbxContent>
                              <w:p w14:paraId="49A72E1D" w14:textId="77777777" w:rsidR="009433C9" w:rsidRDefault="009433C9">
                                <w:pPr>
                                  <w:spacing w:line="240" w:lineRule="auto"/>
                                  <w:textDirection w:val="btLr"/>
                                </w:pPr>
                              </w:p>
                            </w:txbxContent>
                          </wps:txbx>
                          <wps:bodyPr spcFirstLastPara="1" wrap="square" lIns="91425" tIns="91425" rIns="91425" bIns="91425" anchor="ctr" anchorCtr="0">
                            <a:noAutofit/>
                          </wps:bodyPr>
                        </wps:wsp>
                        <wpg:grpSp>
                          <wpg:cNvPr id="1900545936" name="Group 1900545936"/>
                          <wpg:cNvGrpSpPr/>
                          <wpg:grpSpPr>
                            <a:xfrm>
                              <a:off x="2964433" y="3776825"/>
                              <a:ext cx="4763125" cy="6350"/>
                              <a:chOff x="0" y="0"/>
                              <a:chExt cx="4763125" cy="6350"/>
                            </a:xfrm>
                          </wpg:grpSpPr>
                          <wps:wsp>
                            <wps:cNvPr id="922544403" name="Rectangle 922544403"/>
                            <wps:cNvSpPr/>
                            <wps:spPr>
                              <a:xfrm>
                                <a:off x="0" y="0"/>
                                <a:ext cx="4763125" cy="6350"/>
                              </a:xfrm>
                              <a:prstGeom prst="rect">
                                <a:avLst/>
                              </a:prstGeom>
                              <a:noFill/>
                              <a:ln>
                                <a:noFill/>
                              </a:ln>
                            </wps:spPr>
                            <wps:txbx>
                              <w:txbxContent>
                                <w:p w14:paraId="49A72E1E" w14:textId="77777777" w:rsidR="009433C9" w:rsidRDefault="009433C9">
                                  <w:pPr>
                                    <w:spacing w:line="240" w:lineRule="auto"/>
                                    <w:textDirection w:val="btLr"/>
                                  </w:pPr>
                                </w:p>
                              </w:txbxContent>
                            </wps:txbx>
                            <wps:bodyPr spcFirstLastPara="1" wrap="square" lIns="91425" tIns="91425" rIns="91425" bIns="91425" anchor="ctr" anchorCtr="0">
                              <a:noAutofit/>
                            </wps:bodyPr>
                          </wps:wsp>
                          <wps:wsp>
                            <wps:cNvPr id="898282570" name="Freeform: Shape 898282570"/>
                            <wps:cNvSpPr/>
                            <wps:spPr>
                              <a:xfrm>
                                <a:off x="0" y="3175"/>
                                <a:ext cx="1229360" cy="1270"/>
                              </a:xfrm>
                              <a:custGeom>
                                <a:avLst/>
                                <a:gdLst/>
                                <a:ahLst/>
                                <a:cxnLst/>
                                <a:rect l="l" t="t" r="r" b="b"/>
                                <a:pathLst>
                                  <a:path w="1229360" h="120000" extrusionOk="0">
                                    <a:moveTo>
                                      <a:pt x="0" y="0"/>
                                    </a:moveTo>
                                    <a:lnTo>
                                      <a:pt x="1229296" y="0"/>
                                    </a:lnTo>
                                  </a:path>
                                </a:pathLst>
                              </a:custGeom>
                              <a:noFill/>
                              <a:ln w="9525" cap="flat" cmpd="sng">
                                <a:solidFill>
                                  <a:srgbClr val="00ACC8"/>
                                </a:solidFill>
                                <a:prstDash val="solid"/>
                                <a:round/>
                                <a:headEnd type="none" w="sm" len="sm"/>
                                <a:tailEnd type="none" w="sm" len="sm"/>
                              </a:ln>
                            </wps:spPr>
                            <wps:bodyPr spcFirstLastPara="1" wrap="square" lIns="91425" tIns="91425" rIns="91425" bIns="91425" anchor="ctr" anchorCtr="0">
                              <a:noAutofit/>
                            </wps:bodyPr>
                          </wps:wsp>
                          <wps:wsp>
                            <wps:cNvPr id="1049170494" name="Freeform: Shape 1049170494"/>
                            <wps:cNvSpPr/>
                            <wps:spPr>
                              <a:xfrm>
                                <a:off x="1229296" y="3175"/>
                                <a:ext cx="1685289" cy="1270"/>
                              </a:xfrm>
                              <a:custGeom>
                                <a:avLst/>
                                <a:gdLst/>
                                <a:ahLst/>
                                <a:cxnLst/>
                                <a:rect l="l" t="t" r="r" b="b"/>
                                <a:pathLst>
                                  <a:path w="1685289" h="120000" extrusionOk="0">
                                    <a:moveTo>
                                      <a:pt x="0" y="0"/>
                                    </a:moveTo>
                                    <a:lnTo>
                                      <a:pt x="1685137" y="0"/>
                                    </a:lnTo>
                                  </a:path>
                                </a:pathLst>
                              </a:custGeom>
                              <a:noFill/>
                              <a:ln w="9525" cap="flat" cmpd="sng">
                                <a:solidFill>
                                  <a:srgbClr val="00ACC8"/>
                                </a:solidFill>
                                <a:prstDash val="solid"/>
                                <a:round/>
                                <a:headEnd type="none" w="sm" len="sm"/>
                                <a:tailEnd type="none" w="sm" len="sm"/>
                              </a:ln>
                            </wps:spPr>
                            <wps:bodyPr spcFirstLastPara="1" wrap="square" lIns="91425" tIns="91425" rIns="91425" bIns="91425" anchor="ctr" anchorCtr="0">
                              <a:noAutofit/>
                            </wps:bodyPr>
                          </wps:wsp>
                          <wps:wsp>
                            <wps:cNvPr id="710001045" name="Freeform: Shape 710001045"/>
                            <wps:cNvSpPr/>
                            <wps:spPr>
                              <a:xfrm>
                                <a:off x="2914431" y="3175"/>
                                <a:ext cx="1848485" cy="1270"/>
                              </a:xfrm>
                              <a:custGeom>
                                <a:avLst/>
                                <a:gdLst/>
                                <a:ahLst/>
                                <a:cxnLst/>
                                <a:rect l="l" t="t" r="r" b="b"/>
                                <a:pathLst>
                                  <a:path w="1848485" h="120000" extrusionOk="0">
                                    <a:moveTo>
                                      <a:pt x="0" y="0"/>
                                    </a:moveTo>
                                    <a:lnTo>
                                      <a:pt x="1848319" y="0"/>
                                    </a:lnTo>
                                  </a:path>
                                </a:pathLst>
                              </a:custGeom>
                              <a:noFill/>
                              <a:ln w="9525" cap="flat" cmpd="sng">
                                <a:solidFill>
                                  <a:srgbClr val="00ACC8"/>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203200</wp:posOffset>
                </wp:positionH>
                <wp:positionV relativeFrom="paragraph">
                  <wp:posOffset>38100</wp:posOffset>
                </wp:positionV>
                <wp:extent cx="4763135" cy="6350"/>
                <wp:effectExtent b="0" l="0" r="0" t="0"/>
                <wp:wrapNone/>
                <wp:docPr id="1"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4763135" cy="6350"/>
                        </a:xfrm>
                        <a:prstGeom prst="rect"/>
                        <a:ln/>
                      </pic:spPr>
                    </pic:pic>
                  </a:graphicData>
                </a:graphic>
              </wp:anchor>
            </w:drawing>
          </mc:Fallback>
        </mc:AlternateContent>
      </w:r>
    </w:p>
    <w:p w14:paraId="49A72DDA" w14:textId="77777777" w:rsidR="009433C9" w:rsidRDefault="00000000">
      <w:pPr>
        <w:widowControl w:val="0"/>
        <w:spacing w:before="156" w:line="261" w:lineRule="auto"/>
        <w:ind w:left="542" w:hanging="220"/>
        <w:rPr>
          <w:rFonts w:ascii="Cambria" w:eastAsia="Cambria" w:hAnsi="Cambria" w:cs="Cambria"/>
          <w:color w:val="231F20"/>
          <w:sz w:val="18"/>
          <w:szCs w:val="18"/>
        </w:rPr>
      </w:pPr>
      <w:r>
        <w:rPr>
          <w:rFonts w:ascii="Cambria" w:eastAsia="Cambria" w:hAnsi="Cambria" w:cs="Cambria"/>
          <w:color w:val="231F20"/>
          <w:sz w:val="18"/>
          <w:szCs w:val="18"/>
        </w:rPr>
        <w:t>focus</w:t>
      </w:r>
    </w:p>
    <w:p w14:paraId="49A72DDB" w14:textId="77777777" w:rsidR="009433C9" w:rsidRDefault="00000000">
      <w:pPr>
        <w:widowControl w:val="0"/>
        <w:spacing w:before="156" w:line="261" w:lineRule="auto"/>
        <w:ind w:left="376" w:hanging="220"/>
        <w:rPr>
          <w:rFonts w:ascii="Cambria" w:eastAsia="Cambria" w:hAnsi="Cambria" w:cs="Cambria"/>
          <w:sz w:val="18"/>
          <w:szCs w:val="18"/>
        </w:rPr>
      </w:pPr>
      <w:r>
        <w:br w:type="column"/>
      </w:r>
    </w:p>
    <w:p w14:paraId="49A72DDC" w14:textId="77777777" w:rsidR="009433C9" w:rsidRDefault="00000000">
      <w:pPr>
        <w:widowControl w:val="0"/>
        <w:spacing w:before="156" w:line="261" w:lineRule="auto"/>
        <w:rPr>
          <w:rFonts w:ascii="Cambria" w:eastAsia="Cambria" w:hAnsi="Cambria" w:cs="Cambria"/>
          <w:sz w:val="18"/>
          <w:szCs w:val="18"/>
        </w:rPr>
      </w:pPr>
      <w:r>
        <w:rPr>
          <w:rFonts w:ascii="Cambria" w:eastAsia="Cambria" w:hAnsi="Cambria" w:cs="Cambria"/>
          <w:color w:val="231F20"/>
          <w:sz w:val="18"/>
          <w:szCs w:val="18"/>
        </w:rPr>
        <w:t>Focus on the thought processes of the transmitter as an individual; should only help TT reader with connotations if they are a crucial part of message</w:t>
      </w:r>
    </w:p>
    <w:p w14:paraId="49A72DDD" w14:textId="77777777" w:rsidR="009433C9" w:rsidRDefault="00000000">
      <w:pPr>
        <w:widowControl w:val="0"/>
        <w:spacing w:before="156" w:line="261" w:lineRule="auto"/>
        <w:ind w:left="334" w:right="438" w:hanging="220"/>
        <w:rPr>
          <w:rFonts w:ascii="Cambria" w:eastAsia="Cambria" w:hAnsi="Cambria" w:cs="Cambria"/>
          <w:sz w:val="18"/>
          <w:szCs w:val="18"/>
        </w:rPr>
      </w:pPr>
      <w:r>
        <w:br w:type="column"/>
      </w:r>
    </w:p>
    <w:p w14:paraId="49A72DDE" w14:textId="77777777" w:rsidR="009433C9" w:rsidRDefault="00000000">
      <w:pPr>
        <w:widowControl w:val="0"/>
        <w:spacing w:before="156" w:line="261" w:lineRule="auto"/>
        <w:ind w:left="334" w:right="438" w:hanging="220"/>
        <w:rPr>
          <w:rFonts w:ascii="Cambria" w:eastAsia="Cambria" w:hAnsi="Cambria" w:cs="Cambria"/>
          <w:sz w:val="18"/>
          <w:szCs w:val="18"/>
        </w:rPr>
        <w:sectPr w:rsidR="009433C9">
          <w:type w:val="continuous"/>
          <w:pgSz w:w="12240" w:h="15840"/>
          <w:pgMar w:top="1400" w:right="600" w:bottom="280" w:left="960" w:header="687" w:footer="506" w:gutter="0"/>
          <w:cols w:num="3" w:space="720" w:equalWidth="0">
            <w:col w:w="2744" w:space="39"/>
            <w:col w:w="2744" w:space="39"/>
            <w:col w:w="2744" w:space="0"/>
          </w:cols>
        </w:sectPr>
      </w:pPr>
      <w:r>
        <w:rPr>
          <w:rFonts w:ascii="Cambria" w:eastAsia="Cambria" w:hAnsi="Cambria" w:cs="Cambria"/>
          <w:color w:val="231F20"/>
          <w:sz w:val="18"/>
          <w:szCs w:val="18"/>
        </w:rPr>
        <w:t>Subjective, TT reader focused, oriented towards a specific language and culture</w:t>
      </w:r>
    </w:p>
    <w:p w14:paraId="49A72DDF" w14:textId="77777777" w:rsidR="009433C9" w:rsidRDefault="00000000">
      <w:pPr>
        <w:widowControl w:val="0"/>
        <w:tabs>
          <w:tab w:val="left" w:pos="2257"/>
          <w:tab w:val="left" w:pos="4911"/>
        </w:tabs>
        <w:spacing w:line="240" w:lineRule="auto"/>
        <w:ind w:left="322"/>
        <w:rPr>
          <w:rFonts w:ascii="Cambria" w:eastAsia="Cambria" w:hAnsi="Cambria" w:cs="Cambria"/>
          <w:sz w:val="18"/>
          <w:szCs w:val="18"/>
        </w:rPr>
      </w:pPr>
      <w:r>
        <w:rPr>
          <w:rFonts w:ascii="Cambria" w:eastAsia="Cambria" w:hAnsi="Cambria" w:cs="Cambria"/>
          <w:color w:val="231F20"/>
          <w:sz w:val="18"/>
          <w:szCs w:val="18"/>
        </w:rPr>
        <w:t>Culture</w:t>
      </w:r>
      <w:r>
        <w:rPr>
          <w:rFonts w:ascii="Cambria" w:eastAsia="Cambria" w:hAnsi="Cambria" w:cs="Cambria"/>
          <w:color w:val="231F20"/>
          <w:sz w:val="18"/>
          <w:szCs w:val="18"/>
        </w:rPr>
        <w:tab/>
        <w:t>Remains within the SL culture</w:t>
      </w:r>
      <w:r>
        <w:rPr>
          <w:rFonts w:ascii="Cambria" w:eastAsia="Cambria" w:hAnsi="Cambria" w:cs="Cambria"/>
          <w:color w:val="231F20"/>
          <w:sz w:val="18"/>
          <w:szCs w:val="18"/>
        </w:rPr>
        <w:tab/>
      </w:r>
      <w:r>
        <w:rPr>
          <w:rFonts w:ascii="Cambria" w:eastAsia="Cambria" w:hAnsi="Cambria" w:cs="Cambria"/>
          <w:color w:val="231F20"/>
          <w:sz w:val="18"/>
          <w:szCs w:val="18"/>
        </w:rPr>
        <w:tab/>
      </w:r>
      <w:r>
        <w:rPr>
          <w:rFonts w:ascii="Cambria" w:eastAsia="Cambria" w:hAnsi="Cambria" w:cs="Cambria"/>
          <w:color w:val="231F20"/>
          <w:sz w:val="18"/>
          <w:szCs w:val="18"/>
        </w:rPr>
        <w:tab/>
        <w:t>Transfers foreign elements into the</w:t>
      </w:r>
    </w:p>
    <w:p w14:paraId="49A72DE0" w14:textId="77777777" w:rsidR="009433C9" w:rsidRDefault="00000000">
      <w:pPr>
        <w:widowControl w:val="0"/>
        <w:tabs>
          <w:tab w:val="left" w:pos="2257"/>
          <w:tab w:val="left" w:pos="4911"/>
        </w:tabs>
        <w:spacing w:line="240" w:lineRule="auto"/>
        <w:ind w:left="322"/>
        <w:rPr>
          <w:rFonts w:ascii="Cambria" w:eastAsia="Cambria" w:hAnsi="Cambria" w:cs="Cambria"/>
          <w:sz w:val="18"/>
          <w:szCs w:val="18"/>
        </w:rPr>
        <w:sectPr w:rsidR="009433C9">
          <w:type w:val="continuous"/>
          <w:pgSz w:w="12240" w:h="15840"/>
          <w:pgMar w:top="1400" w:right="600" w:bottom="280" w:left="960" w:header="687" w:footer="506" w:gutter="0"/>
          <w:cols w:space="720"/>
        </w:sectPr>
      </w:pPr>
      <w:r>
        <w:rPr>
          <w:rFonts w:ascii="Cambria" w:eastAsia="Cambria" w:hAnsi="Cambria" w:cs="Cambria"/>
          <w:sz w:val="18"/>
          <w:szCs w:val="18"/>
        </w:rPr>
        <w:tab/>
      </w:r>
      <w:r>
        <w:rPr>
          <w:rFonts w:ascii="Cambria" w:eastAsia="Cambria" w:hAnsi="Cambria" w:cs="Cambria"/>
          <w:sz w:val="18"/>
          <w:szCs w:val="18"/>
        </w:rPr>
        <w:tab/>
      </w:r>
      <w:r>
        <w:rPr>
          <w:rFonts w:ascii="Cambria" w:eastAsia="Cambria" w:hAnsi="Cambria" w:cs="Cambria"/>
          <w:sz w:val="18"/>
          <w:szCs w:val="18"/>
        </w:rPr>
        <w:tab/>
      </w:r>
      <w:r>
        <w:rPr>
          <w:rFonts w:ascii="Cambria" w:eastAsia="Cambria" w:hAnsi="Cambria" w:cs="Cambria"/>
          <w:sz w:val="18"/>
          <w:szCs w:val="18"/>
        </w:rPr>
        <w:tab/>
      </w:r>
      <w:r>
        <w:rPr>
          <w:rFonts w:ascii="Cambria" w:eastAsia="Cambria" w:hAnsi="Cambria" w:cs="Cambria"/>
          <w:color w:val="231F20"/>
          <w:sz w:val="18"/>
          <w:szCs w:val="18"/>
        </w:rPr>
        <w:t>TL culture</w:t>
      </w:r>
    </w:p>
    <w:p w14:paraId="49A72DE1" w14:textId="77777777" w:rsidR="009433C9" w:rsidRDefault="00000000">
      <w:pPr>
        <w:widowControl w:val="0"/>
        <w:tabs>
          <w:tab w:val="left" w:pos="2257"/>
        </w:tabs>
        <w:spacing w:line="240" w:lineRule="auto"/>
        <w:ind w:left="322"/>
        <w:rPr>
          <w:rFonts w:ascii="Cambria" w:eastAsia="Cambria" w:hAnsi="Cambria" w:cs="Cambria"/>
          <w:color w:val="231F20"/>
          <w:sz w:val="18"/>
          <w:szCs w:val="18"/>
        </w:rPr>
      </w:pPr>
      <w:r>
        <w:rPr>
          <w:rFonts w:ascii="Cambria" w:eastAsia="Cambria" w:hAnsi="Cambria" w:cs="Cambria"/>
          <w:color w:val="231F20"/>
          <w:sz w:val="18"/>
          <w:szCs w:val="18"/>
        </w:rPr>
        <w:t>Time and origin</w:t>
      </w:r>
      <w:r>
        <w:rPr>
          <w:rFonts w:ascii="Cambria" w:eastAsia="Cambria" w:hAnsi="Cambria" w:cs="Cambria"/>
          <w:color w:val="231F20"/>
          <w:sz w:val="18"/>
          <w:szCs w:val="18"/>
        </w:rPr>
        <w:tab/>
        <w:t xml:space="preserve">Not fixed in any time or </w:t>
      </w:r>
      <w:r>
        <w:rPr>
          <w:rFonts w:ascii="Cambria" w:eastAsia="Cambria" w:hAnsi="Cambria" w:cs="Cambria"/>
          <w:color w:val="231F20"/>
          <w:sz w:val="18"/>
          <w:szCs w:val="18"/>
        </w:rPr>
        <w:tab/>
        <w:t>local</w:t>
      </w:r>
      <w:r>
        <w:rPr>
          <w:rFonts w:ascii="Cambria" w:eastAsia="Cambria" w:hAnsi="Cambria" w:cs="Cambria"/>
          <w:sz w:val="18"/>
          <w:szCs w:val="18"/>
        </w:rPr>
        <w:t xml:space="preserve"> </w:t>
      </w:r>
      <w:r>
        <w:rPr>
          <w:rFonts w:ascii="Cambria" w:eastAsia="Cambria" w:hAnsi="Cambria" w:cs="Cambria"/>
          <w:color w:val="231F20"/>
          <w:sz w:val="18"/>
          <w:szCs w:val="18"/>
        </w:rPr>
        <w:t xml:space="preserve">space; translation </w:t>
      </w:r>
      <w:r>
        <w:rPr>
          <w:rFonts w:ascii="Cambria" w:eastAsia="Cambria" w:hAnsi="Cambria" w:cs="Cambria"/>
          <w:color w:val="231F20"/>
          <w:sz w:val="18"/>
          <w:szCs w:val="18"/>
        </w:rPr>
        <w:tab/>
        <w:t xml:space="preserve">needs to be done anew </w:t>
      </w:r>
      <w:r>
        <w:rPr>
          <w:rFonts w:ascii="Cambria" w:eastAsia="Cambria" w:hAnsi="Cambria" w:cs="Cambria"/>
          <w:color w:val="231F20"/>
          <w:sz w:val="18"/>
          <w:szCs w:val="18"/>
        </w:rPr>
        <w:tab/>
        <w:t>with every generation</w:t>
      </w:r>
    </w:p>
    <w:p w14:paraId="49A72DE2" w14:textId="77777777" w:rsidR="009433C9" w:rsidRDefault="009433C9">
      <w:pPr>
        <w:widowControl w:val="0"/>
        <w:tabs>
          <w:tab w:val="left" w:pos="2257"/>
        </w:tabs>
        <w:spacing w:line="240" w:lineRule="auto"/>
        <w:ind w:left="322"/>
        <w:rPr>
          <w:rFonts w:ascii="Cambria" w:eastAsia="Cambria" w:hAnsi="Cambria" w:cs="Cambria"/>
          <w:color w:val="231F20"/>
          <w:sz w:val="18"/>
          <w:szCs w:val="18"/>
        </w:rPr>
      </w:pPr>
    </w:p>
    <w:p w14:paraId="49A72DE3" w14:textId="77777777" w:rsidR="009433C9" w:rsidRDefault="009433C9">
      <w:pPr>
        <w:widowControl w:val="0"/>
        <w:tabs>
          <w:tab w:val="left" w:pos="2257"/>
        </w:tabs>
        <w:spacing w:line="180" w:lineRule="auto"/>
        <w:ind w:left="322"/>
        <w:rPr>
          <w:rFonts w:ascii="Cambria" w:eastAsia="Cambria" w:hAnsi="Cambria" w:cs="Cambria"/>
          <w:color w:val="231F20"/>
          <w:sz w:val="18"/>
          <w:szCs w:val="18"/>
        </w:rPr>
      </w:pPr>
    </w:p>
    <w:p w14:paraId="49A72DE4" w14:textId="77777777" w:rsidR="009433C9" w:rsidRDefault="00000000">
      <w:pPr>
        <w:widowControl w:val="0"/>
        <w:tabs>
          <w:tab w:val="left" w:pos="2257"/>
        </w:tabs>
        <w:spacing w:line="180" w:lineRule="auto"/>
        <w:ind w:left="322"/>
        <w:rPr>
          <w:rFonts w:ascii="Cambria" w:eastAsia="Cambria" w:hAnsi="Cambria" w:cs="Cambria"/>
          <w:sz w:val="18"/>
          <w:szCs w:val="18"/>
        </w:rPr>
      </w:pPr>
      <w:r>
        <w:rPr>
          <w:rFonts w:ascii="Cambria" w:eastAsia="Cambria" w:hAnsi="Cambria" w:cs="Cambria"/>
          <w:color w:val="231F20"/>
          <w:sz w:val="18"/>
          <w:szCs w:val="18"/>
        </w:rPr>
        <w:t>Relation to ST</w:t>
      </w:r>
      <w:r>
        <w:rPr>
          <w:rFonts w:ascii="Cambria" w:eastAsia="Cambria" w:hAnsi="Cambria" w:cs="Cambria"/>
          <w:color w:val="231F20"/>
          <w:sz w:val="18"/>
          <w:szCs w:val="18"/>
        </w:rPr>
        <w:tab/>
        <w:t xml:space="preserve">Always ‘inferior’ to ST; </w:t>
      </w:r>
      <w:r>
        <w:rPr>
          <w:rFonts w:ascii="Cambria" w:eastAsia="Cambria" w:hAnsi="Cambria" w:cs="Cambria"/>
          <w:color w:val="231F20"/>
          <w:sz w:val="18"/>
          <w:szCs w:val="18"/>
        </w:rPr>
        <w:tab/>
        <w:t>‘loss’ of</w:t>
      </w:r>
      <w:r>
        <w:rPr>
          <w:rFonts w:ascii="Cambria" w:eastAsia="Cambria" w:hAnsi="Cambria" w:cs="Cambria"/>
          <w:sz w:val="18"/>
          <w:szCs w:val="18"/>
        </w:rPr>
        <w:t xml:space="preserve"> </w:t>
      </w:r>
      <w:r>
        <w:rPr>
          <w:rFonts w:ascii="Cambria" w:eastAsia="Cambria" w:hAnsi="Cambria" w:cs="Cambria"/>
          <w:color w:val="231F20"/>
          <w:sz w:val="18"/>
          <w:szCs w:val="18"/>
        </w:rPr>
        <w:t>meaning</w:t>
      </w:r>
    </w:p>
    <w:p w14:paraId="49A72DE5" w14:textId="77777777" w:rsidR="009433C9" w:rsidRDefault="009433C9">
      <w:pPr>
        <w:widowControl w:val="0"/>
        <w:spacing w:before="5" w:line="240" w:lineRule="auto"/>
        <w:rPr>
          <w:rFonts w:ascii="Cambria" w:eastAsia="Cambria" w:hAnsi="Cambria" w:cs="Cambria"/>
          <w:sz w:val="18"/>
          <w:szCs w:val="18"/>
        </w:rPr>
      </w:pPr>
    </w:p>
    <w:p w14:paraId="49A72DE6" w14:textId="77777777" w:rsidR="009433C9" w:rsidRDefault="009433C9">
      <w:pPr>
        <w:widowControl w:val="0"/>
        <w:tabs>
          <w:tab w:val="left" w:pos="2257"/>
        </w:tabs>
        <w:spacing w:before="1" w:line="240" w:lineRule="auto"/>
        <w:ind w:left="322"/>
        <w:rPr>
          <w:rFonts w:ascii="Cambria" w:eastAsia="Cambria" w:hAnsi="Cambria" w:cs="Cambria"/>
          <w:color w:val="231F20"/>
          <w:sz w:val="18"/>
          <w:szCs w:val="18"/>
        </w:rPr>
      </w:pPr>
    </w:p>
    <w:p w14:paraId="49A72DE7" w14:textId="77777777" w:rsidR="009433C9" w:rsidRDefault="009433C9">
      <w:pPr>
        <w:widowControl w:val="0"/>
        <w:tabs>
          <w:tab w:val="left" w:pos="2257"/>
        </w:tabs>
        <w:spacing w:before="1" w:line="240" w:lineRule="auto"/>
        <w:ind w:left="322"/>
        <w:rPr>
          <w:rFonts w:ascii="Cambria" w:eastAsia="Cambria" w:hAnsi="Cambria" w:cs="Cambria"/>
          <w:color w:val="231F20"/>
          <w:sz w:val="18"/>
          <w:szCs w:val="18"/>
        </w:rPr>
      </w:pPr>
    </w:p>
    <w:p w14:paraId="49A72DE8" w14:textId="77777777" w:rsidR="009433C9" w:rsidRDefault="009433C9">
      <w:pPr>
        <w:widowControl w:val="0"/>
        <w:tabs>
          <w:tab w:val="left" w:pos="2257"/>
        </w:tabs>
        <w:spacing w:before="1" w:line="240" w:lineRule="auto"/>
        <w:ind w:left="322"/>
        <w:rPr>
          <w:rFonts w:ascii="Cambria" w:eastAsia="Cambria" w:hAnsi="Cambria" w:cs="Cambria"/>
          <w:color w:val="231F20"/>
          <w:sz w:val="18"/>
          <w:szCs w:val="18"/>
        </w:rPr>
      </w:pPr>
    </w:p>
    <w:p w14:paraId="49A72DE9" w14:textId="77777777" w:rsidR="009433C9" w:rsidRDefault="00000000">
      <w:pPr>
        <w:widowControl w:val="0"/>
        <w:tabs>
          <w:tab w:val="left" w:pos="2257"/>
        </w:tabs>
        <w:spacing w:before="1" w:line="240" w:lineRule="auto"/>
        <w:ind w:left="322"/>
        <w:rPr>
          <w:rFonts w:ascii="Cambria" w:eastAsia="Cambria" w:hAnsi="Cambria" w:cs="Cambria"/>
          <w:color w:val="231F20"/>
          <w:sz w:val="18"/>
          <w:szCs w:val="18"/>
        </w:rPr>
      </w:pPr>
      <w:r>
        <w:rPr>
          <w:rFonts w:ascii="Cambria" w:eastAsia="Cambria" w:hAnsi="Cambria" w:cs="Cambria"/>
          <w:color w:val="231F20"/>
          <w:sz w:val="18"/>
          <w:szCs w:val="18"/>
        </w:rPr>
        <w:t>Use of form of SL</w:t>
      </w:r>
      <w:r>
        <w:rPr>
          <w:rFonts w:ascii="Cambria" w:eastAsia="Cambria" w:hAnsi="Cambria" w:cs="Cambria"/>
          <w:color w:val="231F20"/>
          <w:sz w:val="18"/>
          <w:szCs w:val="18"/>
        </w:rPr>
        <w:tab/>
        <w:t xml:space="preserve">If ST language norms </w:t>
      </w:r>
      <w:r>
        <w:rPr>
          <w:rFonts w:ascii="Cambria" w:eastAsia="Cambria" w:hAnsi="Cambria" w:cs="Cambria"/>
          <w:color w:val="231F20"/>
          <w:sz w:val="18"/>
          <w:szCs w:val="18"/>
        </w:rPr>
        <w:tab/>
        <w:t xml:space="preserve">deviate,then this must </w:t>
      </w:r>
      <w:r>
        <w:rPr>
          <w:rFonts w:ascii="Cambria" w:eastAsia="Cambria" w:hAnsi="Cambria" w:cs="Cambria"/>
          <w:color w:val="231F20"/>
          <w:sz w:val="18"/>
          <w:szCs w:val="18"/>
        </w:rPr>
        <w:tab/>
        <w:t xml:space="preserve">be replicated in TT; </w:t>
      </w:r>
      <w:r>
        <w:rPr>
          <w:rFonts w:ascii="Cambria" w:eastAsia="Cambria" w:hAnsi="Cambria" w:cs="Cambria"/>
          <w:color w:val="231F20"/>
          <w:sz w:val="18"/>
          <w:szCs w:val="18"/>
        </w:rPr>
        <w:tab/>
        <w:t>‘loyalty’ to ST author</w:t>
      </w:r>
    </w:p>
    <w:p w14:paraId="49A72DEA" w14:textId="77777777" w:rsidR="009433C9" w:rsidRDefault="009433C9">
      <w:pPr>
        <w:widowControl w:val="0"/>
        <w:tabs>
          <w:tab w:val="left" w:pos="2257"/>
        </w:tabs>
        <w:spacing w:before="1" w:line="240" w:lineRule="auto"/>
        <w:ind w:left="322"/>
        <w:rPr>
          <w:rFonts w:ascii="Cambria" w:eastAsia="Cambria" w:hAnsi="Cambria" w:cs="Cambria"/>
          <w:color w:val="231F20"/>
          <w:sz w:val="18"/>
          <w:szCs w:val="18"/>
        </w:rPr>
      </w:pPr>
    </w:p>
    <w:p w14:paraId="49A72DEB" w14:textId="77777777" w:rsidR="009433C9" w:rsidRDefault="00000000">
      <w:pPr>
        <w:widowControl w:val="0"/>
        <w:tabs>
          <w:tab w:val="left" w:pos="2257"/>
        </w:tabs>
        <w:spacing w:line="180" w:lineRule="auto"/>
        <w:ind w:left="322"/>
        <w:rPr>
          <w:rFonts w:ascii="Cambria" w:eastAsia="Cambria" w:hAnsi="Cambria" w:cs="Cambria"/>
          <w:color w:val="231F20"/>
          <w:sz w:val="18"/>
          <w:szCs w:val="18"/>
        </w:rPr>
      </w:pPr>
      <w:r>
        <w:rPr>
          <w:rFonts w:ascii="Cambria" w:eastAsia="Cambria" w:hAnsi="Cambria" w:cs="Cambria"/>
          <w:color w:val="231F20"/>
          <w:sz w:val="18"/>
          <w:szCs w:val="18"/>
        </w:rPr>
        <w:t>Form of TL</w:t>
      </w:r>
      <w:r>
        <w:rPr>
          <w:rFonts w:ascii="Cambria" w:eastAsia="Cambria" w:hAnsi="Cambria" w:cs="Cambria"/>
          <w:color w:val="231F20"/>
          <w:sz w:val="18"/>
          <w:szCs w:val="18"/>
        </w:rPr>
        <w:tab/>
        <w:t xml:space="preserve">More complex, </w:t>
      </w:r>
      <w:r>
        <w:rPr>
          <w:rFonts w:ascii="Cambria" w:eastAsia="Cambria" w:hAnsi="Cambria" w:cs="Cambria"/>
          <w:color w:val="231F20"/>
          <w:sz w:val="18"/>
          <w:szCs w:val="18"/>
        </w:rPr>
        <w:tab/>
      </w:r>
      <w:r>
        <w:rPr>
          <w:rFonts w:ascii="Cambria" w:eastAsia="Cambria" w:hAnsi="Cambria" w:cs="Cambria"/>
          <w:color w:val="231F20"/>
          <w:sz w:val="18"/>
          <w:szCs w:val="18"/>
        </w:rPr>
        <w:tab/>
        <w:t>awkward,</w:t>
      </w:r>
      <w:r>
        <w:rPr>
          <w:rFonts w:ascii="Cambria" w:eastAsia="Cambria" w:hAnsi="Cambria" w:cs="Cambria"/>
          <w:sz w:val="18"/>
          <w:szCs w:val="18"/>
        </w:rPr>
        <w:t xml:space="preserve"> </w:t>
      </w:r>
      <w:r>
        <w:rPr>
          <w:rFonts w:ascii="Cambria" w:eastAsia="Cambria" w:hAnsi="Cambria" w:cs="Cambria"/>
          <w:color w:val="231F20"/>
          <w:sz w:val="18"/>
          <w:szCs w:val="18"/>
        </w:rPr>
        <w:t xml:space="preserve">detailed, </w:t>
      </w:r>
      <w:r>
        <w:rPr>
          <w:rFonts w:ascii="Cambria" w:eastAsia="Cambria" w:hAnsi="Cambria" w:cs="Cambria"/>
          <w:color w:val="231F20"/>
          <w:sz w:val="18"/>
          <w:szCs w:val="18"/>
        </w:rPr>
        <w:tab/>
        <w:t xml:space="preserve">concentrated; tendency </w:t>
      </w:r>
      <w:r>
        <w:rPr>
          <w:rFonts w:ascii="Cambria" w:eastAsia="Cambria" w:hAnsi="Cambria" w:cs="Cambria"/>
          <w:color w:val="231F20"/>
          <w:sz w:val="18"/>
          <w:szCs w:val="18"/>
        </w:rPr>
        <w:tab/>
        <w:t>to overtranslate</w:t>
      </w:r>
    </w:p>
    <w:p w14:paraId="49A72DEC" w14:textId="77777777" w:rsidR="009433C9" w:rsidRDefault="009433C9">
      <w:pPr>
        <w:widowControl w:val="0"/>
        <w:tabs>
          <w:tab w:val="left" w:pos="2257"/>
        </w:tabs>
        <w:spacing w:line="180" w:lineRule="auto"/>
        <w:ind w:left="322"/>
        <w:rPr>
          <w:rFonts w:ascii="Cambria" w:eastAsia="Cambria" w:hAnsi="Cambria" w:cs="Cambria"/>
          <w:color w:val="231F20"/>
          <w:sz w:val="18"/>
          <w:szCs w:val="18"/>
        </w:rPr>
      </w:pPr>
    </w:p>
    <w:p w14:paraId="49A72DED" w14:textId="77777777" w:rsidR="009433C9" w:rsidRDefault="009433C9">
      <w:pPr>
        <w:widowControl w:val="0"/>
        <w:tabs>
          <w:tab w:val="left" w:pos="2257"/>
        </w:tabs>
        <w:spacing w:line="180" w:lineRule="auto"/>
        <w:ind w:left="322"/>
        <w:rPr>
          <w:rFonts w:ascii="Cambria" w:eastAsia="Cambria" w:hAnsi="Cambria" w:cs="Cambria"/>
          <w:color w:val="231F20"/>
          <w:sz w:val="18"/>
          <w:szCs w:val="18"/>
        </w:rPr>
      </w:pPr>
    </w:p>
    <w:p w14:paraId="49A72DEE" w14:textId="77777777" w:rsidR="009433C9" w:rsidRDefault="00000000">
      <w:pPr>
        <w:widowControl w:val="0"/>
        <w:tabs>
          <w:tab w:val="left" w:pos="2257"/>
        </w:tabs>
        <w:spacing w:line="180" w:lineRule="auto"/>
        <w:ind w:left="322"/>
        <w:rPr>
          <w:rFonts w:ascii="Cambria" w:eastAsia="Cambria" w:hAnsi="Cambria" w:cs="Cambria"/>
          <w:sz w:val="18"/>
          <w:szCs w:val="18"/>
        </w:rPr>
      </w:pPr>
      <w:r>
        <w:rPr>
          <w:rFonts w:ascii="Cambria" w:eastAsia="Cambria" w:hAnsi="Cambria" w:cs="Cambria"/>
          <w:color w:val="231F20"/>
          <w:sz w:val="18"/>
          <w:szCs w:val="18"/>
        </w:rPr>
        <w:t>Appropriateness</w:t>
      </w:r>
      <w:r>
        <w:rPr>
          <w:rFonts w:ascii="Cambria" w:eastAsia="Cambria" w:hAnsi="Cambria" w:cs="Cambria"/>
          <w:color w:val="231F20"/>
          <w:sz w:val="18"/>
          <w:szCs w:val="18"/>
        </w:rPr>
        <w:tab/>
        <w:t>For serious literature,</w:t>
      </w:r>
    </w:p>
    <w:p w14:paraId="49A72DEF" w14:textId="77777777" w:rsidR="009433C9" w:rsidRDefault="00000000">
      <w:pPr>
        <w:widowControl w:val="0"/>
        <w:spacing w:before="19" w:line="261" w:lineRule="auto"/>
        <w:ind w:left="2478"/>
        <w:rPr>
          <w:rFonts w:ascii="Cambria" w:eastAsia="Cambria" w:hAnsi="Cambria" w:cs="Cambria"/>
          <w:sz w:val="18"/>
          <w:szCs w:val="18"/>
        </w:rPr>
      </w:pPr>
      <w:r>
        <w:rPr>
          <w:rFonts w:ascii="Cambria" w:eastAsia="Cambria" w:hAnsi="Cambria" w:cs="Cambria"/>
          <w:color w:val="231F20"/>
          <w:sz w:val="18"/>
          <w:szCs w:val="18"/>
        </w:rPr>
        <w:t>autobiography, ‘personal effusion’, any important political (or other) statement</w:t>
      </w:r>
    </w:p>
    <w:p w14:paraId="49A72DF0" w14:textId="77777777" w:rsidR="009433C9" w:rsidRDefault="00000000">
      <w:pPr>
        <w:widowControl w:val="0"/>
        <w:spacing w:line="261" w:lineRule="auto"/>
        <w:ind w:left="1782" w:hanging="220"/>
        <w:rPr>
          <w:rFonts w:ascii="Cambria" w:eastAsia="Cambria" w:hAnsi="Cambria" w:cs="Cambria"/>
          <w:sz w:val="18"/>
          <w:szCs w:val="18"/>
        </w:rPr>
      </w:pPr>
      <w:r>
        <w:br w:type="column"/>
      </w:r>
    </w:p>
    <w:p w14:paraId="49A72DF1" w14:textId="77777777" w:rsidR="009433C9" w:rsidRDefault="009433C9">
      <w:pPr>
        <w:widowControl w:val="0"/>
        <w:spacing w:line="261" w:lineRule="auto"/>
        <w:ind w:left="1782" w:hanging="220"/>
        <w:rPr>
          <w:rFonts w:ascii="Cambria" w:eastAsia="Cambria" w:hAnsi="Cambria" w:cs="Cambria"/>
          <w:color w:val="231F20"/>
          <w:sz w:val="18"/>
          <w:szCs w:val="18"/>
        </w:rPr>
      </w:pPr>
    </w:p>
    <w:p w14:paraId="49A72DF2" w14:textId="77777777" w:rsidR="009433C9" w:rsidRDefault="00000000">
      <w:pPr>
        <w:widowControl w:val="0"/>
        <w:spacing w:line="261" w:lineRule="auto"/>
        <w:ind w:left="1782" w:hanging="220"/>
        <w:rPr>
          <w:rFonts w:ascii="Cambria" w:eastAsia="Cambria" w:hAnsi="Cambria" w:cs="Cambria"/>
          <w:sz w:val="18"/>
          <w:szCs w:val="18"/>
        </w:rPr>
      </w:pPr>
      <w:r>
        <w:rPr>
          <w:rFonts w:ascii="Cambria" w:eastAsia="Cambria" w:hAnsi="Cambria" w:cs="Cambria"/>
          <w:color w:val="231F20"/>
          <w:sz w:val="18"/>
          <w:szCs w:val="18"/>
        </w:rPr>
        <w:t>Ephemeral and rooted in its own contemporary context</w:t>
      </w:r>
    </w:p>
    <w:p w14:paraId="49A72DF3" w14:textId="77777777" w:rsidR="009433C9" w:rsidRDefault="009433C9">
      <w:pPr>
        <w:widowControl w:val="0"/>
        <w:spacing w:line="240" w:lineRule="auto"/>
        <w:rPr>
          <w:rFonts w:ascii="Cambria" w:eastAsia="Cambria" w:hAnsi="Cambria" w:cs="Cambria"/>
          <w:sz w:val="20"/>
          <w:szCs w:val="20"/>
        </w:rPr>
      </w:pPr>
    </w:p>
    <w:p w14:paraId="49A72DF4" w14:textId="77777777" w:rsidR="009433C9" w:rsidRDefault="009433C9">
      <w:pPr>
        <w:widowControl w:val="0"/>
        <w:spacing w:before="6" w:line="240" w:lineRule="auto"/>
        <w:rPr>
          <w:rFonts w:ascii="Cambria" w:eastAsia="Cambria" w:hAnsi="Cambria" w:cs="Cambria"/>
          <w:sz w:val="16"/>
          <w:szCs w:val="16"/>
        </w:rPr>
      </w:pPr>
    </w:p>
    <w:p w14:paraId="49A72DF5" w14:textId="77777777" w:rsidR="009433C9" w:rsidRDefault="00000000">
      <w:pPr>
        <w:widowControl w:val="0"/>
        <w:spacing w:line="261" w:lineRule="auto"/>
        <w:ind w:left="1782" w:right="701" w:hanging="220"/>
        <w:rPr>
          <w:rFonts w:ascii="Cambria" w:eastAsia="Cambria" w:hAnsi="Cambria" w:cs="Cambria"/>
          <w:sz w:val="18"/>
          <w:szCs w:val="18"/>
        </w:rPr>
      </w:pPr>
      <w:r>
        <w:rPr>
          <w:rFonts w:ascii="Cambria" w:eastAsia="Cambria" w:hAnsi="Cambria" w:cs="Cambria"/>
          <w:color w:val="231F20"/>
          <w:sz w:val="18"/>
          <w:szCs w:val="18"/>
        </w:rPr>
        <w:t>May be ‘better’ than the ST; ‘gain’ of force and clarity even if loss of semantic content</w:t>
      </w:r>
    </w:p>
    <w:p w14:paraId="49A72DF6" w14:textId="77777777" w:rsidR="009433C9" w:rsidRDefault="009433C9">
      <w:pPr>
        <w:widowControl w:val="0"/>
        <w:spacing w:line="179" w:lineRule="auto"/>
        <w:ind w:left="122"/>
        <w:rPr>
          <w:rFonts w:ascii="Cambria" w:eastAsia="Cambria" w:hAnsi="Cambria" w:cs="Cambria"/>
          <w:color w:val="231F20"/>
          <w:sz w:val="18"/>
          <w:szCs w:val="18"/>
        </w:rPr>
      </w:pPr>
    </w:p>
    <w:p w14:paraId="49A72DF7" w14:textId="77777777" w:rsidR="009433C9" w:rsidRDefault="00000000">
      <w:pPr>
        <w:widowControl w:val="0"/>
        <w:spacing w:line="179" w:lineRule="auto"/>
        <w:ind w:left="842" w:firstLine="598"/>
        <w:rPr>
          <w:rFonts w:ascii="Cambria" w:eastAsia="Cambria" w:hAnsi="Cambria" w:cs="Cambria"/>
          <w:sz w:val="18"/>
          <w:szCs w:val="18"/>
        </w:rPr>
      </w:pPr>
      <w:r>
        <w:rPr>
          <w:rFonts w:ascii="Cambria" w:eastAsia="Cambria" w:hAnsi="Cambria" w:cs="Cambria"/>
          <w:color w:val="231F20"/>
          <w:sz w:val="18"/>
          <w:szCs w:val="18"/>
        </w:rPr>
        <w:t>Respect for the form of the SL, but</w:t>
      </w:r>
    </w:p>
    <w:p w14:paraId="49A72DF8" w14:textId="77777777" w:rsidR="009433C9" w:rsidRDefault="00000000">
      <w:pPr>
        <w:widowControl w:val="0"/>
        <w:spacing w:before="19" w:line="240" w:lineRule="auto"/>
        <w:ind w:left="1062" w:firstLine="378"/>
        <w:rPr>
          <w:rFonts w:ascii="Cambria" w:eastAsia="Cambria" w:hAnsi="Cambria" w:cs="Cambria"/>
          <w:sz w:val="18"/>
          <w:szCs w:val="18"/>
        </w:rPr>
      </w:pPr>
      <w:r>
        <w:rPr>
          <w:rFonts w:ascii="Cambria" w:eastAsia="Cambria" w:hAnsi="Cambria" w:cs="Cambria"/>
          <w:color w:val="231F20"/>
          <w:sz w:val="18"/>
          <w:szCs w:val="18"/>
        </w:rPr>
        <w:t>overriding ‘loyalty’ to TL norms</w:t>
      </w:r>
    </w:p>
    <w:p w14:paraId="49A72DF9" w14:textId="77777777" w:rsidR="009433C9" w:rsidRDefault="009433C9">
      <w:pPr>
        <w:widowControl w:val="0"/>
        <w:spacing w:before="6" w:line="240" w:lineRule="auto"/>
        <w:rPr>
          <w:rFonts w:ascii="Cambria" w:eastAsia="Cambria" w:hAnsi="Cambria" w:cs="Cambria"/>
          <w:sz w:val="18"/>
          <w:szCs w:val="18"/>
        </w:rPr>
      </w:pPr>
    </w:p>
    <w:p w14:paraId="49A72DFA" w14:textId="77777777" w:rsidR="009433C9" w:rsidRDefault="009433C9">
      <w:pPr>
        <w:widowControl w:val="0"/>
        <w:spacing w:before="1" w:line="261" w:lineRule="auto"/>
        <w:ind w:left="342" w:right="604" w:hanging="220"/>
        <w:rPr>
          <w:rFonts w:ascii="Cambria" w:eastAsia="Cambria" w:hAnsi="Cambria" w:cs="Cambria"/>
          <w:color w:val="231F20"/>
          <w:sz w:val="18"/>
          <w:szCs w:val="18"/>
        </w:rPr>
      </w:pPr>
    </w:p>
    <w:p w14:paraId="49A72DFB" w14:textId="77777777" w:rsidR="009433C9" w:rsidRDefault="009433C9">
      <w:pPr>
        <w:widowControl w:val="0"/>
        <w:spacing w:before="1" w:line="261" w:lineRule="auto"/>
        <w:ind w:left="342" w:right="604" w:hanging="220"/>
        <w:rPr>
          <w:rFonts w:ascii="Cambria" w:eastAsia="Cambria" w:hAnsi="Cambria" w:cs="Cambria"/>
          <w:color w:val="231F20"/>
          <w:sz w:val="18"/>
          <w:szCs w:val="18"/>
        </w:rPr>
      </w:pPr>
    </w:p>
    <w:p w14:paraId="49A72DFC" w14:textId="77777777" w:rsidR="009433C9" w:rsidRDefault="00000000">
      <w:pPr>
        <w:widowControl w:val="0"/>
        <w:spacing w:before="1" w:line="261" w:lineRule="auto"/>
        <w:ind w:left="1562" w:right="604"/>
        <w:rPr>
          <w:rFonts w:ascii="Cambria" w:eastAsia="Cambria" w:hAnsi="Cambria" w:cs="Cambria"/>
          <w:color w:val="231F20"/>
          <w:sz w:val="18"/>
          <w:szCs w:val="18"/>
        </w:rPr>
      </w:pPr>
      <w:r>
        <w:rPr>
          <w:rFonts w:ascii="Cambria" w:eastAsia="Cambria" w:hAnsi="Cambria" w:cs="Cambria"/>
          <w:color w:val="231F20"/>
          <w:sz w:val="18"/>
          <w:szCs w:val="18"/>
        </w:rPr>
        <w:t>Smoother, simpler, clearer, more direct, more conventional; tendency to undertranslate</w:t>
      </w:r>
    </w:p>
    <w:p w14:paraId="49A72DFD" w14:textId="77777777" w:rsidR="009433C9" w:rsidRDefault="009433C9">
      <w:pPr>
        <w:widowControl w:val="0"/>
        <w:spacing w:before="1" w:line="261" w:lineRule="auto"/>
        <w:ind w:left="1062" w:right="604" w:hanging="220"/>
        <w:rPr>
          <w:rFonts w:ascii="Cambria" w:eastAsia="Cambria" w:hAnsi="Cambria" w:cs="Cambria"/>
          <w:color w:val="231F20"/>
          <w:sz w:val="18"/>
          <w:szCs w:val="18"/>
        </w:rPr>
      </w:pPr>
    </w:p>
    <w:p w14:paraId="49A72DFE" w14:textId="77777777" w:rsidR="009433C9" w:rsidRDefault="00000000">
      <w:pPr>
        <w:widowControl w:val="0"/>
        <w:spacing w:line="180" w:lineRule="auto"/>
        <w:ind w:left="842" w:firstLine="598"/>
        <w:rPr>
          <w:rFonts w:ascii="Cambria" w:eastAsia="Cambria" w:hAnsi="Cambria" w:cs="Cambria"/>
          <w:sz w:val="18"/>
          <w:szCs w:val="18"/>
        </w:rPr>
      </w:pPr>
      <w:r>
        <w:rPr>
          <w:rFonts w:ascii="Cambria" w:eastAsia="Cambria" w:hAnsi="Cambria" w:cs="Cambria"/>
          <w:color w:val="231F20"/>
          <w:sz w:val="18"/>
          <w:szCs w:val="18"/>
        </w:rPr>
        <w:t>For the vast majority of texts, e.g.,</w:t>
      </w:r>
    </w:p>
    <w:p w14:paraId="49A72DFF" w14:textId="77777777" w:rsidR="009433C9" w:rsidRDefault="00000000">
      <w:pPr>
        <w:widowControl w:val="0"/>
        <w:spacing w:before="17" w:line="261" w:lineRule="auto"/>
        <w:ind w:left="1440" w:right="604"/>
        <w:rPr>
          <w:rFonts w:ascii="Cambria" w:eastAsia="Cambria" w:hAnsi="Cambria" w:cs="Cambria"/>
          <w:color w:val="231F20"/>
          <w:sz w:val="18"/>
          <w:szCs w:val="18"/>
        </w:rPr>
      </w:pPr>
      <w:r>
        <w:rPr>
          <w:rFonts w:ascii="Cambria" w:eastAsia="Cambria" w:hAnsi="Cambria" w:cs="Cambria"/>
          <w:color w:val="231F20"/>
          <w:sz w:val="18"/>
          <w:szCs w:val="18"/>
        </w:rPr>
        <w:t>non-literary writing, technical and informative texts, publicity, standardized types, popular fiction</w:t>
      </w:r>
    </w:p>
    <w:p w14:paraId="49A72E00" w14:textId="77777777" w:rsidR="009433C9" w:rsidRDefault="009433C9">
      <w:pPr>
        <w:widowControl w:val="0"/>
        <w:spacing w:before="17" w:line="261" w:lineRule="auto"/>
        <w:ind w:left="1440" w:right="604"/>
        <w:rPr>
          <w:rFonts w:ascii="Cambria" w:eastAsia="Cambria" w:hAnsi="Cambria" w:cs="Cambria"/>
          <w:color w:val="231F20"/>
          <w:sz w:val="18"/>
          <w:szCs w:val="18"/>
        </w:rPr>
        <w:sectPr w:rsidR="009433C9">
          <w:type w:val="continuous"/>
          <w:pgSz w:w="12240" w:h="15840"/>
          <w:pgMar w:top="1400" w:right="600" w:bottom="280" w:left="960" w:header="687" w:footer="506" w:gutter="0"/>
          <w:cols w:num="2" w:space="720" w:equalWidth="0">
            <w:col w:w="4135" w:space="40"/>
            <w:col w:w="4135" w:space="0"/>
          </w:cols>
        </w:sectPr>
      </w:pPr>
    </w:p>
    <w:p w14:paraId="49A72E01" w14:textId="77777777" w:rsidR="009433C9" w:rsidRDefault="00000000">
      <w:pPr>
        <w:widowControl w:val="0"/>
        <w:spacing w:line="261" w:lineRule="auto"/>
        <w:ind w:left="542" w:hanging="220"/>
        <w:rPr>
          <w:rFonts w:ascii="Cambria" w:eastAsia="Cambria" w:hAnsi="Cambria" w:cs="Cambria"/>
          <w:sz w:val="18"/>
          <w:szCs w:val="18"/>
        </w:rPr>
      </w:pPr>
      <w:r>
        <w:rPr>
          <w:rFonts w:ascii="Cambria" w:eastAsia="Cambria" w:hAnsi="Cambria" w:cs="Cambria"/>
          <w:color w:val="231F20"/>
          <w:sz w:val="18"/>
          <w:szCs w:val="18"/>
        </w:rPr>
        <w:t>Criterion for evaluation</w:t>
      </w:r>
    </w:p>
    <w:p w14:paraId="49A72E02" w14:textId="77777777" w:rsidR="009433C9" w:rsidRDefault="00000000">
      <w:pPr>
        <w:widowControl w:val="0"/>
        <w:spacing w:before="1" w:line="261" w:lineRule="auto"/>
        <w:ind w:left="542" w:hanging="220"/>
        <w:rPr>
          <w:rFonts w:ascii="Cambria" w:eastAsia="Cambria" w:hAnsi="Cambria" w:cs="Cambria"/>
          <w:sz w:val="18"/>
          <w:szCs w:val="18"/>
        </w:rPr>
      </w:pPr>
      <w:r>
        <w:br w:type="column"/>
      </w:r>
      <w:r>
        <w:rPr>
          <w:rFonts w:ascii="Cambria" w:eastAsia="Cambria" w:hAnsi="Cambria" w:cs="Cambria"/>
          <w:color w:val="231F20"/>
          <w:sz w:val="18"/>
          <w:szCs w:val="18"/>
        </w:rPr>
        <w:t>Accuracy of reproduction of the significance of ST</w:t>
      </w:r>
    </w:p>
    <w:p w14:paraId="49A72E03" w14:textId="77777777" w:rsidR="009433C9" w:rsidRDefault="00000000">
      <w:pPr>
        <w:widowControl w:val="0"/>
        <w:spacing w:line="261" w:lineRule="auto"/>
        <w:ind w:left="309" w:right="206" w:hanging="220"/>
        <w:rPr>
          <w:rFonts w:ascii="Cambria" w:eastAsia="Cambria" w:hAnsi="Cambria" w:cs="Cambria"/>
          <w:sz w:val="18"/>
          <w:szCs w:val="18"/>
        </w:rPr>
        <w:sectPr w:rsidR="009433C9">
          <w:type w:val="continuous"/>
          <w:pgSz w:w="12240" w:h="15840"/>
          <w:pgMar w:top="1400" w:right="600" w:bottom="280" w:left="960" w:header="687" w:footer="506" w:gutter="0"/>
          <w:cols w:num="3" w:space="720" w:equalWidth="0">
            <w:col w:w="2744" w:space="39"/>
            <w:col w:w="2744" w:space="39"/>
            <w:col w:w="2744" w:space="0"/>
          </w:cols>
        </w:sectPr>
      </w:pPr>
      <w:r>
        <w:br w:type="column"/>
      </w:r>
      <w:r>
        <w:rPr>
          <w:rFonts w:ascii="Cambria" w:eastAsia="Cambria" w:hAnsi="Cambria" w:cs="Cambria"/>
          <w:color w:val="231F20"/>
          <w:sz w:val="18"/>
          <w:szCs w:val="18"/>
        </w:rPr>
        <w:t>Accuracy of communication of ST message in TT</w:t>
      </w:r>
    </w:p>
    <w:p w14:paraId="49A72E04" w14:textId="77777777" w:rsidR="009433C9" w:rsidRDefault="009433C9">
      <w:pPr>
        <w:widowControl w:val="0"/>
        <w:spacing w:before="3" w:line="240" w:lineRule="auto"/>
        <w:rPr>
          <w:rFonts w:ascii="Cambria" w:eastAsia="Cambria" w:hAnsi="Cambria" w:cs="Cambria"/>
          <w:sz w:val="4"/>
          <w:szCs w:val="4"/>
        </w:rPr>
      </w:pPr>
    </w:p>
    <w:p w14:paraId="49A72E05" w14:textId="77777777" w:rsidR="009433C9" w:rsidRDefault="00000000">
      <w:pPr>
        <w:widowControl w:val="0"/>
        <w:spacing w:line="20" w:lineRule="auto"/>
        <w:ind w:left="312"/>
        <w:rPr>
          <w:rFonts w:ascii="Cambria" w:eastAsia="Cambria" w:hAnsi="Cambria" w:cs="Cambria"/>
          <w:sz w:val="2"/>
          <w:szCs w:val="2"/>
        </w:rPr>
      </w:pPr>
      <w:r>
        <w:rPr>
          <w:rFonts w:ascii="Cambria" w:eastAsia="Cambria" w:hAnsi="Cambria" w:cs="Cambria"/>
          <w:noProof/>
          <w:sz w:val="2"/>
          <w:szCs w:val="2"/>
        </w:rPr>
        <mc:AlternateContent>
          <mc:Choice Requires="wpg">
            <w:drawing>
              <wp:inline distT="0" distB="0" distL="0" distR="0" wp14:anchorId="49A72E19" wp14:editId="49A72E1A">
                <wp:extent cx="4763135" cy="12700"/>
                <wp:effectExtent l="0" t="0" r="0" b="0"/>
                <wp:docPr id="2" name="Group 2"/>
                <wp:cNvGraphicFramePr/>
                <a:graphic xmlns:a="http://schemas.openxmlformats.org/drawingml/2006/main">
                  <a:graphicData uri="http://schemas.microsoft.com/office/word/2010/wordprocessingGroup">
                    <wpg:wgp>
                      <wpg:cNvGrpSpPr/>
                      <wpg:grpSpPr>
                        <a:xfrm>
                          <a:off x="0" y="0"/>
                          <a:ext cx="4763135" cy="12700"/>
                          <a:chOff x="2964425" y="3773625"/>
                          <a:chExt cx="4763150" cy="12750"/>
                        </a:xfrm>
                      </wpg:grpSpPr>
                      <wpg:grpSp>
                        <wpg:cNvPr id="1907059145" name="Group 1907059145"/>
                        <wpg:cNvGrpSpPr/>
                        <wpg:grpSpPr>
                          <a:xfrm>
                            <a:off x="2964433" y="3773650"/>
                            <a:ext cx="4763135" cy="12700"/>
                            <a:chOff x="2964425" y="3773625"/>
                            <a:chExt cx="4763150" cy="12750"/>
                          </a:xfrm>
                        </wpg:grpSpPr>
                        <wps:wsp>
                          <wps:cNvPr id="1595419016" name="Rectangle 1595419016"/>
                          <wps:cNvSpPr/>
                          <wps:spPr>
                            <a:xfrm>
                              <a:off x="2964425" y="3773625"/>
                              <a:ext cx="4763150" cy="12750"/>
                            </a:xfrm>
                            <a:prstGeom prst="rect">
                              <a:avLst/>
                            </a:prstGeom>
                            <a:noFill/>
                            <a:ln>
                              <a:noFill/>
                            </a:ln>
                          </wps:spPr>
                          <wps:txbx>
                            <w:txbxContent>
                              <w:p w14:paraId="49A72E1F" w14:textId="77777777" w:rsidR="009433C9" w:rsidRDefault="009433C9">
                                <w:pPr>
                                  <w:spacing w:line="240" w:lineRule="auto"/>
                                  <w:textDirection w:val="btLr"/>
                                </w:pPr>
                              </w:p>
                            </w:txbxContent>
                          </wps:txbx>
                          <wps:bodyPr spcFirstLastPara="1" wrap="square" lIns="91425" tIns="91425" rIns="91425" bIns="91425" anchor="ctr" anchorCtr="0">
                            <a:noAutofit/>
                          </wps:bodyPr>
                        </wps:wsp>
                        <wpg:grpSp>
                          <wpg:cNvPr id="823346736" name="Group 823346736"/>
                          <wpg:cNvGrpSpPr/>
                          <wpg:grpSpPr>
                            <a:xfrm>
                              <a:off x="2964433" y="3773650"/>
                              <a:ext cx="4763125" cy="12700"/>
                              <a:chOff x="0" y="0"/>
                              <a:chExt cx="4763125" cy="12700"/>
                            </a:xfrm>
                          </wpg:grpSpPr>
                          <wps:wsp>
                            <wps:cNvPr id="2069290809" name="Rectangle 2069290809"/>
                            <wps:cNvSpPr/>
                            <wps:spPr>
                              <a:xfrm>
                                <a:off x="0" y="0"/>
                                <a:ext cx="4763125" cy="12700"/>
                              </a:xfrm>
                              <a:prstGeom prst="rect">
                                <a:avLst/>
                              </a:prstGeom>
                              <a:noFill/>
                              <a:ln>
                                <a:noFill/>
                              </a:ln>
                            </wps:spPr>
                            <wps:txbx>
                              <w:txbxContent>
                                <w:p w14:paraId="49A72E20" w14:textId="77777777" w:rsidR="009433C9" w:rsidRDefault="009433C9">
                                  <w:pPr>
                                    <w:spacing w:line="240" w:lineRule="auto"/>
                                    <w:textDirection w:val="btLr"/>
                                  </w:pPr>
                                </w:p>
                              </w:txbxContent>
                            </wps:txbx>
                            <wps:bodyPr spcFirstLastPara="1" wrap="square" lIns="91425" tIns="91425" rIns="91425" bIns="91425" anchor="ctr" anchorCtr="0">
                              <a:noAutofit/>
                            </wps:bodyPr>
                          </wps:wsp>
                          <wps:wsp>
                            <wps:cNvPr id="1199394451" name="Freeform: Shape 1199394451"/>
                            <wps:cNvSpPr/>
                            <wps:spPr>
                              <a:xfrm>
                                <a:off x="0" y="6350"/>
                                <a:ext cx="1229360" cy="1270"/>
                              </a:xfrm>
                              <a:custGeom>
                                <a:avLst/>
                                <a:gdLst/>
                                <a:ahLst/>
                                <a:cxnLst/>
                                <a:rect l="l" t="t" r="r" b="b"/>
                                <a:pathLst>
                                  <a:path w="1229360" h="120000" extrusionOk="0">
                                    <a:moveTo>
                                      <a:pt x="0" y="0"/>
                                    </a:moveTo>
                                    <a:lnTo>
                                      <a:pt x="1229296" y="0"/>
                                    </a:lnTo>
                                  </a:path>
                                </a:pathLst>
                              </a:custGeom>
                              <a:noFill/>
                              <a:ln w="12700" cap="flat" cmpd="sng">
                                <a:solidFill>
                                  <a:srgbClr val="00ACC8"/>
                                </a:solidFill>
                                <a:prstDash val="solid"/>
                                <a:round/>
                                <a:headEnd type="none" w="sm" len="sm"/>
                                <a:tailEnd type="none" w="sm" len="sm"/>
                              </a:ln>
                            </wps:spPr>
                            <wps:bodyPr spcFirstLastPara="1" wrap="square" lIns="91425" tIns="91425" rIns="91425" bIns="91425" anchor="ctr" anchorCtr="0">
                              <a:noAutofit/>
                            </wps:bodyPr>
                          </wps:wsp>
                          <wps:wsp>
                            <wps:cNvPr id="628497444" name="Freeform: Shape 628497444"/>
                            <wps:cNvSpPr/>
                            <wps:spPr>
                              <a:xfrm>
                                <a:off x="1229296" y="6350"/>
                                <a:ext cx="1685289" cy="1270"/>
                              </a:xfrm>
                              <a:custGeom>
                                <a:avLst/>
                                <a:gdLst/>
                                <a:ahLst/>
                                <a:cxnLst/>
                                <a:rect l="l" t="t" r="r" b="b"/>
                                <a:pathLst>
                                  <a:path w="1685289" h="120000" extrusionOk="0">
                                    <a:moveTo>
                                      <a:pt x="0" y="0"/>
                                    </a:moveTo>
                                    <a:lnTo>
                                      <a:pt x="1685137" y="0"/>
                                    </a:lnTo>
                                  </a:path>
                                </a:pathLst>
                              </a:custGeom>
                              <a:noFill/>
                              <a:ln w="12700" cap="flat" cmpd="sng">
                                <a:solidFill>
                                  <a:srgbClr val="00ACC8"/>
                                </a:solidFill>
                                <a:prstDash val="solid"/>
                                <a:round/>
                                <a:headEnd type="none" w="sm" len="sm"/>
                                <a:tailEnd type="none" w="sm" len="sm"/>
                              </a:ln>
                            </wps:spPr>
                            <wps:bodyPr spcFirstLastPara="1" wrap="square" lIns="91425" tIns="91425" rIns="91425" bIns="91425" anchor="ctr" anchorCtr="0">
                              <a:noAutofit/>
                            </wps:bodyPr>
                          </wps:wsp>
                          <wps:wsp>
                            <wps:cNvPr id="1003104989" name="Freeform: Shape 1003104989"/>
                            <wps:cNvSpPr/>
                            <wps:spPr>
                              <a:xfrm>
                                <a:off x="2914431" y="6350"/>
                                <a:ext cx="1848485" cy="1270"/>
                              </a:xfrm>
                              <a:custGeom>
                                <a:avLst/>
                                <a:gdLst/>
                                <a:ahLst/>
                                <a:cxnLst/>
                                <a:rect l="l" t="t" r="r" b="b"/>
                                <a:pathLst>
                                  <a:path w="1848485" h="120000" extrusionOk="0">
                                    <a:moveTo>
                                      <a:pt x="0" y="0"/>
                                    </a:moveTo>
                                    <a:lnTo>
                                      <a:pt x="1848319" y="0"/>
                                    </a:lnTo>
                                  </a:path>
                                </a:pathLst>
                              </a:custGeom>
                              <a:noFill/>
                              <a:ln w="12700" cap="flat" cmpd="sng">
                                <a:solidFill>
                                  <a:srgbClr val="00ACC8"/>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4763135" cy="12700"/>
                <wp:effectExtent b="0" l="0" r="0" t="0"/>
                <wp:docPr id="2"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4763135" cy="12700"/>
                        </a:xfrm>
                        <a:prstGeom prst="rect"/>
                        <a:ln/>
                      </pic:spPr>
                    </pic:pic>
                  </a:graphicData>
                </a:graphic>
              </wp:inline>
            </w:drawing>
          </mc:Fallback>
        </mc:AlternateContent>
      </w:r>
    </w:p>
    <w:p w14:paraId="49A72E06" w14:textId="77777777" w:rsidR="009433C9" w:rsidRDefault="009433C9">
      <w:pPr>
        <w:widowControl w:val="0"/>
        <w:spacing w:before="5" w:line="240" w:lineRule="auto"/>
        <w:rPr>
          <w:rFonts w:ascii="Cambria" w:eastAsia="Cambria" w:hAnsi="Cambria" w:cs="Cambria"/>
          <w:sz w:val="29"/>
          <w:szCs w:val="29"/>
        </w:rPr>
      </w:pPr>
    </w:p>
    <w:p w14:paraId="49A72E07" w14:textId="77777777" w:rsidR="009433C9" w:rsidRDefault="00000000">
      <w:pPr>
        <w:widowControl w:val="0"/>
        <w:spacing w:before="99" w:line="256" w:lineRule="auto"/>
        <w:ind w:left="320" w:right="553"/>
        <w:rPr>
          <w:rFonts w:ascii="Cambria" w:eastAsia="Cambria" w:hAnsi="Cambria" w:cs="Cambria"/>
          <w:sz w:val="20"/>
          <w:szCs w:val="20"/>
        </w:rPr>
      </w:pPr>
      <w:r>
        <w:rPr>
          <w:rFonts w:ascii="Cambria" w:eastAsia="Cambria" w:hAnsi="Cambria" w:cs="Cambria"/>
          <w:color w:val="231F20"/>
          <w:sz w:val="20"/>
          <w:szCs w:val="20"/>
        </w:rPr>
        <w:t>translation means word-for-word in its extreme version and, even in its weaker form, sticks very closely to ST lexis and syntax.</w:t>
      </w:r>
    </w:p>
    <w:p w14:paraId="49A72E08" w14:textId="77777777" w:rsidR="009433C9" w:rsidRDefault="00000000">
      <w:pPr>
        <w:widowControl w:val="0"/>
        <w:spacing w:line="256" w:lineRule="auto"/>
        <w:ind w:left="320" w:right="553" w:firstLine="240"/>
        <w:rPr>
          <w:rFonts w:ascii="Cambria" w:eastAsia="Cambria" w:hAnsi="Cambria" w:cs="Cambria"/>
          <w:sz w:val="20"/>
          <w:szCs w:val="20"/>
        </w:rPr>
      </w:pPr>
      <w:r>
        <w:rPr>
          <w:rFonts w:ascii="Cambria" w:eastAsia="Cambria" w:hAnsi="Cambria" w:cs="Cambria"/>
          <w:color w:val="231F20"/>
          <w:sz w:val="20"/>
          <w:szCs w:val="20"/>
        </w:rPr>
        <w:t>Importantly, as long as equivalent effect is achieved, Newmark holds literal translation to be the best approach:</w:t>
      </w:r>
    </w:p>
    <w:p w14:paraId="49A72E09" w14:textId="77777777" w:rsidR="009433C9" w:rsidRDefault="009433C9">
      <w:pPr>
        <w:widowControl w:val="0"/>
        <w:spacing w:line="240" w:lineRule="auto"/>
        <w:rPr>
          <w:rFonts w:ascii="Cambria" w:eastAsia="Cambria" w:hAnsi="Cambria" w:cs="Cambria"/>
          <w:sz w:val="21"/>
          <w:szCs w:val="21"/>
        </w:rPr>
      </w:pPr>
    </w:p>
    <w:p w14:paraId="49A72E0A" w14:textId="77777777" w:rsidR="009433C9" w:rsidRDefault="00000000">
      <w:pPr>
        <w:widowControl w:val="0"/>
        <w:spacing w:line="256" w:lineRule="auto"/>
        <w:ind w:left="800" w:right="481"/>
        <w:jc w:val="both"/>
        <w:rPr>
          <w:rFonts w:ascii="Cambria" w:eastAsia="Cambria" w:hAnsi="Cambria" w:cs="Cambria"/>
          <w:sz w:val="20"/>
          <w:szCs w:val="20"/>
        </w:rPr>
      </w:pPr>
      <w:r>
        <w:rPr>
          <w:rFonts w:ascii="Cambria" w:eastAsia="Cambria" w:hAnsi="Cambria" w:cs="Cambria"/>
          <w:color w:val="231F20"/>
          <w:sz w:val="20"/>
          <w:szCs w:val="20"/>
        </w:rPr>
        <w:t>In communicative as in semantic translation, provided that equivalent effect is secured, the literal word-for-word translation is not only the best, it is the only valid method of translation.</w:t>
      </w:r>
    </w:p>
    <w:p w14:paraId="49A72E0B" w14:textId="77777777" w:rsidR="009433C9" w:rsidRDefault="00000000">
      <w:pPr>
        <w:widowControl w:val="0"/>
        <w:spacing w:before="3" w:line="240" w:lineRule="auto"/>
        <w:ind w:left="214" w:right="482"/>
        <w:jc w:val="right"/>
        <w:rPr>
          <w:rFonts w:ascii="Book Antiqua" w:eastAsia="Book Antiqua" w:hAnsi="Book Antiqua" w:cs="Book Antiqua"/>
          <w:i/>
          <w:iCs/>
          <w:sz w:val="20"/>
          <w:szCs w:val="20"/>
        </w:rPr>
      </w:pPr>
      <w:r>
        <w:rPr>
          <w:rFonts w:ascii="Book Antiqua" w:eastAsia="Book Antiqua" w:hAnsi="Book Antiqua" w:cs="Book Antiqua"/>
          <w:i/>
          <w:iCs/>
          <w:color w:val="231F20"/>
          <w:sz w:val="20"/>
          <w:szCs w:val="20"/>
        </w:rPr>
        <w:t>(Newmark 1981: 39)</w:t>
      </w:r>
    </w:p>
    <w:p w14:paraId="49A72E0C" w14:textId="77777777" w:rsidR="009433C9" w:rsidRDefault="009433C9">
      <w:pPr>
        <w:widowControl w:val="0"/>
        <w:spacing w:before="5" w:line="240" w:lineRule="auto"/>
        <w:rPr>
          <w:rFonts w:ascii="Book Antiqua" w:eastAsia="Book Antiqua" w:hAnsi="Book Antiqua" w:cs="Book Antiqua"/>
          <w:i/>
          <w:iCs/>
          <w:sz w:val="20"/>
          <w:szCs w:val="20"/>
        </w:rPr>
      </w:pPr>
    </w:p>
    <w:p w14:paraId="49A72E0D" w14:textId="77777777" w:rsidR="009433C9" w:rsidRDefault="00000000">
      <w:pPr>
        <w:widowControl w:val="0"/>
        <w:spacing w:line="256" w:lineRule="auto"/>
        <w:ind w:left="320" w:right="481"/>
        <w:jc w:val="both"/>
        <w:rPr>
          <w:rFonts w:ascii="Cambria" w:eastAsia="Cambria" w:hAnsi="Cambria" w:cs="Cambria"/>
          <w:sz w:val="20"/>
          <w:szCs w:val="20"/>
        </w:rPr>
        <w:sectPr w:rsidR="009433C9">
          <w:type w:val="continuous"/>
          <w:pgSz w:w="12240" w:h="15840"/>
          <w:pgMar w:top="1400" w:right="600" w:bottom="280" w:left="960" w:header="687" w:footer="506" w:gutter="0"/>
          <w:cols w:space="720"/>
        </w:sectPr>
      </w:pPr>
      <w:r>
        <w:rPr>
          <w:rFonts w:ascii="Cambria" w:eastAsia="Cambria" w:hAnsi="Cambria" w:cs="Cambria"/>
          <w:color w:val="231F20"/>
          <w:sz w:val="20"/>
          <w:szCs w:val="20"/>
        </w:rPr>
        <w:t>This assertion can be related to what other theorists (e.g., Lev</w:t>
      </w:r>
      <w:r>
        <w:rPr>
          <w:rFonts w:ascii="Century" w:eastAsia="Century" w:hAnsi="Century" w:cs="Century"/>
          <w:color w:val="231F20"/>
          <w:sz w:val="20"/>
          <w:szCs w:val="20"/>
        </w:rPr>
        <w:t xml:space="preserve">ý </w:t>
      </w:r>
      <w:r>
        <w:rPr>
          <w:rFonts w:ascii="Cambria" w:eastAsia="Cambria" w:hAnsi="Cambria" w:cs="Cambria"/>
          <w:color w:val="231F20"/>
          <w:sz w:val="20"/>
          <w:szCs w:val="20"/>
        </w:rPr>
        <w:t xml:space="preserve">1967/2000; Toury 1995/2012) have said about the translator’s work. Namely, that the constraints of time and working conditions often mean that the translator has to maximize the efficiency of the cognitive processes (see Chapter 4) by concentrating energy on especially difficult problems, by devoting less effort to those parts of the text where a reasonable transla- tion is produced by the ‘literal’ procedure. However, if there is a conflict between the </w:t>
      </w:r>
    </w:p>
    <w:p w14:paraId="49A72E0E" w14:textId="77777777" w:rsidR="009433C9" w:rsidRDefault="00000000">
      <w:pPr>
        <w:widowControl w:val="0"/>
        <w:spacing w:before="99" w:line="252" w:lineRule="auto"/>
        <w:ind w:right="677"/>
        <w:jc w:val="both"/>
        <w:rPr>
          <w:rFonts w:ascii="Book Antiqua" w:eastAsia="Book Antiqua" w:hAnsi="Book Antiqua" w:cs="Book Antiqua"/>
          <w:i/>
          <w:iCs/>
          <w:sz w:val="20"/>
          <w:szCs w:val="20"/>
        </w:rPr>
      </w:pPr>
      <w:r>
        <w:rPr>
          <w:rFonts w:ascii="Cambria" w:eastAsia="Cambria" w:hAnsi="Cambria" w:cs="Cambria"/>
          <w:color w:val="231F20"/>
          <w:sz w:val="20"/>
          <w:szCs w:val="20"/>
        </w:rPr>
        <w:lastRenderedPageBreak/>
        <w:t xml:space="preserve">two forms of translation (if semantic translation would result in an ‘abnormal’ TT or would not secure equivalent effect in the TL), then communicative translation should be preferred. An example of this, provided by Newmark (ibid.: 39), is the common sign </w:t>
      </w:r>
      <w:r>
        <w:rPr>
          <w:rFonts w:ascii="Book Antiqua" w:eastAsia="Book Antiqua" w:hAnsi="Book Antiqua" w:cs="Book Antiqua"/>
          <w:i/>
          <w:iCs/>
          <w:color w:val="231F20"/>
          <w:sz w:val="20"/>
          <w:szCs w:val="20"/>
        </w:rPr>
        <w:t xml:space="preserve">bissiger Hund </w:t>
      </w:r>
      <w:r>
        <w:rPr>
          <w:rFonts w:ascii="Cambria" w:eastAsia="Cambria" w:hAnsi="Cambria" w:cs="Cambria"/>
          <w:color w:val="231F20"/>
          <w:sz w:val="20"/>
          <w:szCs w:val="20"/>
        </w:rPr>
        <w:t xml:space="preserve">and </w:t>
      </w:r>
      <w:r>
        <w:rPr>
          <w:rFonts w:ascii="Book Antiqua" w:eastAsia="Book Antiqua" w:hAnsi="Book Antiqua" w:cs="Book Antiqua"/>
          <w:i/>
          <w:iCs/>
          <w:color w:val="231F20"/>
          <w:sz w:val="20"/>
          <w:szCs w:val="20"/>
        </w:rPr>
        <w:t>chien m</w:t>
      </w:r>
      <w:r>
        <w:rPr>
          <w:rFonts w:ascii="Cambria" w:eastAsia="Cambria" w:hAnsi="Cambria" w:cs="Cambria"/>
          <w:i/>
          <w:iCs/>
          <w:color w:val="231F20"/>
          <w:sz w:val="20"/>
          <w:szCs w:val="20"/>
        </w:rPr>
        <w:t>é</w:t>
      </w:r>
      <w:r>
        <w:rPr>
          <w:rFonts w:ascii="Book Antiqua" w:eastAsia="Book Antiqua" w:hAnsi="Book Antiqua" w:cs="Book Antiqua"/>
          <w:i/>
          <w:iCs/>
          <w:color w:val="231F20"/>
          <w:sz w:val="20"/>
          <w:szCs w:val="20"/>
        </w:rPr>
        <w:t>chant</w:t>
      </w:r>
      <w:r>
        <w:rPr>
          <w:rFonts w:ascii="Cambria" w:eastAsia="Cambria" w:hAnsi="Cambria" w:cs="Cambria"/>
          <w:color w:val="231F20"/>
          <w:sz w:val="20"/>
          <w:szCs w:val="20"/>
        </w:rPr>
        <w:t xml:space="preserve">. It would be translated communicatively as </w:t>
      </w:r>
      <w:r>
        <w:rPr>
          <w:rFonts w:ascii="Book Antiqua" w:eastAsia="Book Antiqua" w:hAnsi="Book Antiqua" w:cs="Book Antiqua"/>
          <w:i/>
          <w:iCs/>
          <w:color w:val="231F20"/>
          <w:sz w:val="20"/>
          <w:szCs w:val="20"/>
        </w:rPr>
        <w:t xml:space="preserve">beware of the dog! </w:t>
      </w:r>
      <w:r>
        <w:rPr>
          <w:rFonts w:ascii="Cambria" w:eastAsia="Cambria" w:hAnsi="Cambria" w:cs="Cambria"/>
          <w:color w:val="231F20"/>
          <w:sz w:val="20"/>
          <w:szCs w:val="20"/>
        </w:rPr>
        <w:t xml:space="preserve">in order to communicate the message, not semantically as </w:t>
      </w:r>
      <w:r>
        <w:rPr>
          <w:rFonts w:ascii="Book Antiqua" w:eastAsia="Book Antiqua" w:hAnsi="Book Antiqua" w:cs="Book Antiqua"/>
          <w:i/>
          <w:iCs/>
          <w:color w:val="231F20"/>
          <w:sz w:val="20"/>
          <w:szCs w:val="20"/>
        </w:rPr>
        <w:t xml:space="preserve">dog that bites! </w:t>
      </w:r>
      <w:r>
        <w:rPr>
          <w:rFonts w:ascii="Cambria" w:eastAsia="Cambria" w:hAnsi="Cambria" w:cs="Cambria"/>
          <w:color w:val="231F20"/>
          <w:sz w:val="20"/>
          <w:szCs w:val="20"/>
        </w:rPr>
        <w:t xml:space="preserve">and </w:t>
      </w:r>
      <w:r>
        <w:rPr>
          <w:rFonts w:ascii="Book Antiqua" w:eastAsia="Book Antiqua" w:hAnsi="Book Antiqua" w:cs="Book Antiqua"/>
          <w:i/>
          <w:iCs/>
          <w:color w:val="231F20"/>
          <w:sz w:val="20"/>
          <w:szCs w:val="20"/>
        </w:rPr>
        <w:t>bad dog!</w:t>
      </w:r>
    </w:p>
    <w:p w14:paraId="49A72E0F" w14:textId="77777777" w:rsidR="009433C9" w:rsidRDefault="009433C9">
      <w:pPr>
        <w:widowControl w:val="0"/>
        <w:spacing w:before="8" w:line="240" w:lineRule="auto"/>
        <w:rPr>
          <w:rFonts w:ascii="Book Antiqua" w:eastAsia="Book Antiqua" w:hAnsi="Book Antiqua" w:cs="Book Antiqua"/>
          <w:i/>
          <w:iCs/>
          <w:sz w:val="23"/>
          <w:szCs w:val="23"/>
        </w:rPr>
      </w:pPr>
    </w:p>
    <w:p w14:paraId="49A72E10" w14:textId="77777777" w:rsidR="009433C9" w:rsidRDefault="009433C9">
      <w:pPr>
        <w:widowControl w:val="0"/>
        <w:spacing w:before="5" w:line="240" w:lineRule="auto"/>
        <w:rPr>
          <w:rFonts w:ascii="Book Antiqua" w:eastAsia="Book Antiqua" w:hAnsi="Book Antiqua" w:cs="Book Antiqua"/>
          <w:i/>
          <w:iCs/>
          <w:sz w:val="25"/>
          <w:szCs w:val="25"/>
        </w:rPr>
      </w:pPr>
    </w:p>
    <w:p w14:paraId="49A72E11" w14:textId="77777777" w:rsidR="009433C9" w:rsidRDefault="00000000">
      <w:pPr>
        <w:widowControl w:val="0"/>
        <w:tabs>
          <w:tab w:val="left" w:pos="609"/>
        </w:tabs>
        <w:spacing w:before="101" w:line="240" w:lineRule="auto"/>
        <w:rPr>
          <w:rFonts w:ascii="Gill Sans" w:eastAsia="Gill Sans" w:hAnsi="Gill Sans" w:cs="Gill Sans"/>
          <w:sz w:val="18"/>
          <w:szCs w:val="18"/>
        </w:rPr>
      </w:pPr>
      <w:r>
        <w:rPr>
          <w:rFonts w:ascii="Gill Sans" w:eastAsia="Gill Sans" w:hAnsi="Gill Sans" w:cs="Gill Sans"/>
          <w:color w:val="00ACC8"/>
          <w:sz w:val="18"/>
          <w:szCs w:val="18"/>
        </w:rPr>
        <w:t>Discussion of Newmark</w:t>
      </w:r>
    </w:p>
    <w:p w14:paraId="49A72E12" w14:textId="77777777" w:rsidR="009433C9" w:rsidRDefault="00000000">
      <w:pPr>
        <w:widowControl w:val="0"/>
        <w:spacing w:before="19" w:line="256" w:lineRule="auto"/>
        <w:ind w:left="124" w:right="676"/>
        <w:jc w:val="both"/>
        <w:rPr>
          <w:rFonts w:ascii="Cambria" w:eastAsia="Cambria" w:hAnsi="Cambria" w:cs="Cambria"/>
          <w:sz w:val="11"/>
          <w:szCs w:val="11"/>
        </w:rPr>
      </w:pPr>
      <w:r>
        <w:rPr>
          <w:rFonts w:ascii="Cambria" w:eastAsia="Cambria" w:hAnsi="Cambria" w:cs="Cambria"/>
          <w:color w:val="231F20"/>
          <w:sz w:val="20"/>
          <w:szCs w:val="20"/>
        </w:rPr>
        <w:t>Newmark’s terms ‘semantic translation’ and ‘communicative translation’ have generally received far less discussion than Nida’s formal and dynamic equivalence. This may be because, despite Newmark’s relevant criticisms of equivalent effect, they raise some of the same points concerning the translation process and the importance of the TT reader. One of the difficulties encountered by translation studies in systematically following up advances in theory may indeed be partly attributable to the over- abundance of terminology. Newmark himself, for instance, defines Juliane House’s pair of ‘overt’ and ‘covert’ translation (see Chapter 6) in terms of his own semantic and communicative translation (Newmark 1981: 52), and considers communicative translation to be ‘identical’ to Nida’s functional or dynamic equivalence (Newmark 2009: 30).</w:t>
      </w:r>
      <w:r>
        <w:rPr>
          <w:rFonts w:ascii="Cambria" w:eastAsia="Cambria" w:hAnsi="Cambria" w:cs="Cambria"/>
          <w:color w:val="231F20"/>
          <w:sz w:val="18"/>
          <w:szCs w:val="18"/>
          <w:vertAlign w:val="superscript"/>
        </w:rPr>
        <w:t>6</w:t>
      </w:r>
    </w:p>
    <w:p w14:paraId="49A72E13" w14:textId="77777777" w:rsidR="009433C9" w:rsidRDefault="00000000">
      <w:pPr>
        <w:widowControl w:val="0"/>
        <w:spacing w:line="256" w:lineRule="auto"/>
        <w:ind w:left="124" w:right="677" w:firstLine="240"/>
        <w:jc w:val="both"/>
        <w:rPr>
          <w:rFonts w:ascii="Cambria" w:eastAsia="Cambria" w:hAnsi="Cambria" w:cs="Cambria"/>
          <w:sz w:val="20"/>
          <w:szCs w:val="20"/>
        </w:rPr>
      </w:pPr>
      <w:r>
        <w:rPr>
          <w:rFonts w:ascii="Cambria" w:eastAsia="Cambria" w:hAnsi="Cambria" w:cs="Cambria"/>
          <w:color w:val="231F20"/>
          <w:sz w:val="20"/>
          <w:szCs w:val="20"/>
        </w:rPr>
        <w:t>Newmark has been criticized for his strong prescriptivism, and the language of his evaluations still bears traces of what he himself called the ‘pre-linguistics era’ of trans- lation studies: translations are ‘smooth’ or ‘awkward’, while translation itself is an ‘art’ (if semantic) or a ‘craft’ (if communicative). Nonetheless, the large number of examples in Newmark’s work provide ample guidance and advice for the trainee, and many of the questions he tackles are of important practical relevance to translation. It should also be noted that in his later discourse (e.g., Pedrola 1999, Newmark 2009: 34), he emphasized the aesthetic principles of writing, the difference between ‘social, non- literary’ and ‘authoritative and serious’ translation and an ethical and truth-seeking function for translation.</w:t>
      </w:r>
    </w:p>
    <w:p w14:paraId="49A72E14" w14:textId="77777777" w:rsidR="009433C9" w:rsidRDefault="009433C9"/>
    <w:sectPr w:rsidR="009433C9">
      <w:pgSz w:w="12240" w:h="15840"/>
      <w:pgMar w:top="880" w:right="600" w:bottom="700" w:left="960" w:header="687" w:footer="5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80A6F7" w14:textId="77777777" w:rsidR="00B42A10" w:rsidRDefault="00B42A10" w:rsidP="001B5AAC">
      <w:pPr>
        <w:spacing w:line="240" w:lineRule="auto"/>
      </w:pPr>
      <w:r>
        <w:separator/>
      </w:r>
    </w:p>
  </w:endnote>
  <w:endnote w:type="continuationSeparator" w:id="0">
    <w:p w14:paraId="4D6E21F3" w14:textId="77777777" w:rsidR="00B42A10" w:rsidRDefault="00B42A10" w:rsidP="001B5A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ill Sans">
    <w:charset w:val="00"/>
    <w:family w:val="auto"/>
    <w:pitch w:val="default"/>
    <w:embedRegular r:id="rId1" w:fontKey="{19DB971A-D404-4B83-A3F7-5F753FB8F10E}"/>
    <w:embedBold r:id="rId2" w:fontKey="{F46002FA-0C69-4E27-ACB9-712C0A5132FA}"/>
  </w:font>
  <w:font w:name="Cambria">
    <w:panose1 w:val="02040503050406030204"/>
    <w:charset w:val="00"/>
    <w:family w:val="roman"/>
    <w:pitch w:val="variable"/>
    <w:sig w:usb0="E00006FF" w:usb1="420024FF" w:usb2="02000000" w:usb3="00000000" w:csb0="0000019F" w:csb1="00000000"/>
    <w:embedRegular r:id="rId3" w:fontKey="{7231720F-B500-4F7E-8E4F-DEC1DA5FFCD3}"/>
    <w:embedBold r:id="rId4" w:fontKey="{F634F037-3CF8-46E4-A15F-EE3A35F349C0}"/>
    <w:embedItalic r:id="rId5" w:fontKey="{DDF9C5EC-B793-47D8-924C-F4279B252ACD}"/>
  </w:font>
  <w:font w:name="Book Antiqua">
    <w:panose1 w:val="02040602050305030304"/>
    <w:charset w:val="00"/>
    <w:family w:val="roman"/>
    <w:pitch w:val="variable"/>
    <w:sig w:usb0="00000287" w:usb1="00000000" w:usb2="00000000" w:usb3="00000000" w:csb0="0000009F" w:csb1="00000000"/>
    <w:embedItalic r:id="rId6" w:fontKey="{A55202A6-E677-4F19-B48A-5365FCA959A3}"/>
  </w:font>
  <w:font w:name="Rockwell">
    <w:panose1 w:val="02060603020205020403"/>
    <w:charset w:val="00"/>
    <w:family w:val="roman"/>
    <w:pitch w:val="variable"/>
    <w:sig w:usb0="00000007" w:usb1="00000000" w:usb2="00000000" w:usb3="00000000" w:csb0="00000003" w:csb1="00000000"/>
    <w:embedRegular r:id="rId7" w:fontKey="{3A505217-C3FE-4849-924E-DC1FD1622B0C}"/>
  </w:font>
  <w:font w:name="Century">
    <w:panose1 w:val="02040604050505020304"/>
    <w:charset w:val="00"/>
    <w:family w:val="roman"/>
    <w:pitch w:val="variable"/>
    <w:sig w:usb0="00000287" w:usb1="00000000" w:usb2="00000000" w:usb3="00000000" w:csb0="0000009F" w:csb1="00000000"/>
    <w:embedRegular r:id="rId8" w:fontKey="{0CF0E07B-0EBD-4994-B361-C7CA5EC379E5}"/>
  </w:font>
  <w:font w:name="Calibri">
    <w:panose1 w:val="020F0502020204030204"/>
    <w:charset w:val="00"/>
    <w:family w:val="swiss"/>
    <w:pitch w:val="variable"/>
    <w:sig w:usb0="E4002EFF" w:usb1="C200247B" w:usb2="00000009" w:usb3="00000000" w:csb0="000001FF" w:csb1="00000000"/>
    <w:embedRegular r:id="rId9" w:fontKey="{1764B006-4593-44E8-A260-4B8C94B3B0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F90F" w14:textId="3E378587" w:rsidR="001B5AAC" w:rsidRDefault="001B5AAC">
    <w:pPr>
      <w:pStyle w:val="Footer"/>
    </w:pPr>
    <w:r>
      <w:rPr>
        <w:noProof/>
      </w:rPr>
      <mc:AlternateContent>
        <mc:Choice Requires="wps">
          <w:drawing>
            <wp:anchor distT="0" distB="0" distL="0" distR="0" simplePos="0" relativeHeight="251659264" behindDoc="0" locked="0" layoutInCell="1" allowOverlap="1" wp14:anchorId="730A5CBD" wp14:editId="1A04B43A">
              <wp:simplePos x="635" y="635"/>
              <wp:positionH relativeFrom="page">
                <wp:align>left</wp:align>
              </wp:positionH>
              <wp:positionV relativeFrom="page">
                <wp:align>bottom</wp:align>
              </wp:positionV>
              <wp:extent cx="2085975" cy="344805"/>
              <wp:effectExtent l="0" t="0" r="9525" b="0"/>
              <wp:wrapNone/>
              <wp:docPr id="185845241"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33E1905A" w14:textId="6F6BA70E" w:rsidR="001B5AAC" w:rsidRPr="001B5AAC" w:rsidRDefault="001B5AAC" w:rsidP="001B5AAC">
                          <w:pPr>
                            <w:rPr>
                              <w:rFonts w:ascii="Rockwell" w:eastAsia="Rockwell" w:hAnsi="Rockwell" w:cs="Rockwell"/>
                              <w:noProof/>
                              <w:color w:val="0078D7"/>
                              <w:sz w:val="18"/>
                              <w:szCs w:val="18"/>
                            </w:rPr>
                          </w:pPr>
                          <w:r w:rsidRPr="001B5AA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30A5CBD" id="_x0000_t202" coordsize="21600,21600" o:spt="202" path="m,l,21600r21600,l21600,xe">
              <v:stroke joinstyle="miter"/>
              <v:path gradientshapeok="t" o:connecttype="rect"/>
            </v:shapetype>
            <v:shape id="Text Box 2" o:spid="_x0000_s1050" type="#_x0000_t202" alt="Information Classification: General" style="position:absolute;margin-left:0;margin-top:0;width:164.25pt;height:27.15pt;z-index:25165926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" filled="f" stroked="f">
              <v:fill o:detectmouseclick="t"/>
              <v:textbox style="mso-fit-shape-to-text:t" inset="20pt,0,0,15pt">
                <w:txbxContent>
                  <w:p w14:paraId="33E1905A" w14:textId="6F6BA70E" w:rsidR="001B5AAC" w:rsidRPr="001B5AAC" w:rsidRDefault="001B5AAC" w:rsidP="001B5AAC">
                    <w:pPr>
                      <w:rPr>
                        <w:rFonts w:ascii="Rockwell" w:eastAsia="Rockwell" w:hAnsi="Rockwell" w:cs="Rockwell"/>
                        <w:noProof/>
                        <w:color w:val="0078D7"/>
                        <w:sz w:val="18"/>
                        <w:szCs w:val="18"/>
                      </w:rPr>
                    </w:pPr>
                    <w:r w:rsidRPr="001B5AA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934D0" w14:textId="540EF51B" w:rsidR="001B5AAC" w:rsidRDefault="001B5AAC">
    <w:pPr>
      <w:pStyle w:val="Footer"/>
    </w:pPr>
    <w:r>
      <w:rPr>
        <w:noProof/>
      </w:rPr>
      <mc:AlternateContent>
        <mc:Choice Requires="wps">
          <w:drawing>
            <wp:anchor distT="0" distB="0" distL="0" distR="0" simplePos="0" relativeHeight="251660288" behindDoc="0" locked="0" layoutInCell="1" allowOverlap="1" wp14:anchorId="5CDDE23A" wp14:editId="2465B3B7">
              <wp:simplePos x="635" y="635"/>
              <wp:positionH relativeFrom="page">
                <wp:align>left</wp:align>
              </wp:positionH>
              <wp:positionV relativeFrom="page">
                <wp:align>bottom</wp:align>
              </wp:positionV>
              <wp:extent cx="2085975" cy="344805"/>
              <wp:effectExtent l="0" t="0" r="9525" b="0"/>
              <wp:wrapNone/>
              <wp:docPr id="2064525997"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22EFF0E2" w14:textId="69F8C386" w:rsidR="001B5AAC" w:rsidRPr="001B5AAC" w:rsidRDefault="001B5AAC" w:rsidP="001B5AAC">
                          <w:pPr>
                            <w:rPr>
                              <w:rFonts w:ascii="Rockwell" w:eastAsia="Rockwell" w:hAnsi="Rockwell" w:cs="Rockwell"/>
                              <w:noProof/>
                              <w:color w:val="0078D7"/>
                              <w:sz w:val="18"/>
                              <w:szCs w:val="18"/>
                            </w:rPr>
                          </w:pPr>
                          <w:r w:rsidRPr="001B5AA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CDDE23A" id="_x0000_t202" coordsize="21600,21600" o:spt="202" path="m,l,21600r21600,l21600,xe">
              <v:stroke joinstyle="miter"/>
              <v:path gradientshapeok="t" o:connecttype="rect"/>
            </v:shapetype>
            <v:shape id="Text Box 3" o:spid="_x0000_s1051" type="#_x0000_t202" alt="Information Classification: General" style="position:absolute;margin-left:0;margin-top:0;width:164.25pt;height:27.15pt;z-index:25166028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" filled="f" stroked="f">
              <v:fill o:detectmouseclick="t"/>
              <v:textbox style="mso-fit-shape-to-text:t" inset="20pt,0,0,15pt">
                <w:txbxContent>
                  <w:p w14:paraId="22EFF0E2" w14:textId="69F8C386" w:rsidR="001B5AAC" w:rsidRPr="001B5AAC" w:rsidRDefault="001B5AAC" w:rsidP="001B5AAC">
                    <w:pPr>
                      <w:rPr>
                        <w:rFonts w:ascii="Rockwell" w:eastAsia="Rockwell" w:hAnsi="Rockwell" w:cs="Rockwell"/>
                        <w:noProof/>
                        <w:color w:val="0078D7"/>
                        <w:sz w:val="18"/>
                        <w:szCs w:val="18"/>
                      </w:rPr>
                    </w:pPr>
                    <w:r w:rsidRPr="001B5AA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CF98CE" w14:textId="6F024522" w:rsidR="001B5AAC" w:rsidRDefault="001B5AAC">
    <w:pPr>
      <w:pStyle w:val="Footer"/>
    </w:pPr>
    <w:r>
      <w:rPr>
        <w:noProof/>
      </w:rPr>
      <mc:AlternateContent>
        <mc:Choice Requires="wps">
          <w:drawing>
            <wp:anchor distT="0" distB="0" distL="0" distR="0" simplePos="0" relativeHeight="251658240" behindDoc="0" locked="0" layoutInCell="1" allowOverlap="1" wp14:anchorId="45230DD5" wp14:editId="4ACCB72D">
              <wp:simplePos x="635" y="635"/>
              <wp:positionH relativeFrom="page">
                <wp:align>left</wp:align>
              </wp:positionH>
              <wp:positionV relativeFrom="page">
                <wp:align>bottom</wp:align>
              </wp:positionV>
              <wp:extent cx="2085975" cy="344805"/>
              <wp:effectExtent l="0" t="0" r="9525" b="0"/>
              <wp:wrapNone/>
              <wp:docPr id="606732766"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44805"/>
                      </a:xfrm>
                      <a:prstGeom prst="rect">
                        <a:avLst/>
                      </a:prstGeom>
                      <a:noFill/>
                      <a:ln>
                        <a:noFill/>
                      </a:ln>
                    </wps:spPr>
                    <wps:txbx>
                      <w:txbxContent>
                        <w:p w14:paraId="3A587A3E" w14:textId="6F566760" w:rsidR="001B5AAC" w:rsidRPr="001B5AAC" w:rsidRDefault="001B5AAC" w:rsidP="001B5AAC">
                          <w:pPr>
                            <w:rPr>
                              <w:rFonts w:ascii="Rockwell" w:eastAsia="Rockwell" w:hAnsi="Rockwell" w:cs="Rockwell"/>
                              <w:noProof/>
                              <w:color w:val="0078D7"/>
                              <w:sz w:val="18"/>
                              <w:szCs w:val="18"/>
                            </w:rPr>
                          </w:pPr>
                          <w:r w:rsidRPr="001B5AAC">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5230DD5" id="_x0000_t202" coordsize="21600,21600" o:spt="202" path="m,l,21600r21600,l21600,xe">
              <v:stroke joinstyle="miter"/>
              <v:path gradientshapeok="t" o:connecttype="rect"/>
            </v:shapetype>
            <v:shape id="Text Box 1" o:spid="_x0000_s1052" type="#_x0000_t202" alt="Information Classification: General" style="position:absolute;margin-left:0;margin-top:0;width:164.25pt;height:27.1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" filled="f" stroked="f">
              <v:fill o:detectmouseclick="t"/>
              <v:textbox style="mso-fit-shape-to-text:t" inset="20pt,0,0,15pt">
                <w:txbxContent>
                  <w:p w14:paraId="3A587A3E" w14:textId="6F566760" w:rsidR="001B5AAC" w:rsidRPr="001B5AAC" w:rsidRDefault="001B5AAC" w:rsidP="001B5AAC">
                    <w:pPr>
                      <w:rPr>
                        <w:rFonts w:ascii="Rockwell" w:eastAsia="Rockwell" w:hAnsi="Rockwell" w:cs="Rockwell"/>
                        <w:noProof/>
                        <w:color w:val="0078D7"/>
                        <w:sz w:val="18"/>
                        <w:szCs w:val="18"/>
                      </w:rPr>
                    </w:pPr>
                    <w:r w:rsidRPr="001B5AAC">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D0FE7F" w14:textId="77777777" w:rsidR="00B42A10" w:rsidRDefault="00B42A10" w:rsidP="001B5AAC">
      <w:pPr>
        <w:spacing w:line="240" w:lineRule="auto"/>
      </w:pPr>
      <w:r>
        <w:separator/>
      </w:r>
    </w:p>
  </w:footnote>
  <w:footnote w:type="continuationSeparator" w:id="0">
    <w:p w14:paraId="74A13051" w14:textId="77777777" w:rsidR="00B42A10" w:rsidRDefault="00B42A10" w:rsidP="001B5AA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3C9"/>
    <w:rsid w:val="001B5AAC"/>
    <w:rsid w:val="00623AD0"/>
    <w:rsid w:val="009433C9"/>
    <w:rsid w:val="00B42A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72DCA"/>
  <w15:docId w15:val="{8E193363-C5CE-4644-A299-79810CFF13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er">
    <w:name w:val="footer"/>
    <w:basedOn w:val="Normal"/>
    <w:link w:val="FooterChar"/>
    <w:uiPriority w:val="99"/>
    <w:unhideWhenUsed/>
    <w:rsid w:val="001B5AAC"/>
    <w:pPr>
      <w:tabs>
        <w:tab w:val="center" w:pos="4513"/>
        <w:tab w:val="right" w:pos="9026"/>
      </w:tabs>
      <w:spacing w:line="240" w:lineRule="auto"/>
    </w:pPr>
  </w:style>
  <w:style w:type="character" w:customStyle="1" w:styleId="FooterChar">
    <w:name w:val="Footer Char"/>
    <w:basedOn w:val="DefaultParagraphFont"/>
    <w:link w:val="Footer"/>
    <w:uiPriority w:val="99"/>
    <w:rsid w:val="001B5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1051</Words>
  <Characters>5995</Characters>
  <Application>Microsoft Office Word</Application>
  <DocSecurity>0</DocSecurity>
  <Lines>49</Lines>
  <Paragraphs>14</Paragraphs>
  <ScaleCrop>false</ScaleCrop>
  <Company/>
  <LinksUpToDate>false</LinksUpToDate>
  <CharactersWithSpaces>7032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Cook, Samantha</cp:lastModifiedBy>
  <cp:revision>2</cp:revision>
  <dcterms:created xsi:type="dcterms:W3CDTF">2026-03-16T16:02:00Z</dcterms:created>
  <dcterms:modified xsi:type="dcterms:W3CDTF">2026-03-16T16:02:00Z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242a01de,b13c5f9,7b0e2aad</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2026-03-16T16:02:28Z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bb67f1ed-08b0-4b54-9e45-d2b3c20d6e29</vt:lpwstr>
  </property>
  <property fmtid="{D5CDD505-2E9C-101B-9397-08002B2CF9AE}" pid="11" name="MSIP_Label_2bbab825-a111-45e4-86a1-18cee0005896_ContentBits">
    <vt:lpwstr>2</vt:lpwstr>
  </property>
  <property fmtid="{D5CDD505-2E9C-101B-9397-08002B2CF9AE}" pid="12" name="MSIP_Label_2bbab825-a111-45e4-86a1-18cee0005896_Tag">
    <vt:lpwstr>10, 3, 0, 1</vt:lpwstr>
  </property>
</Properties>
</file>