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BA" w:rsidRPr="00B9774A" w:rsidRDefault="004C74BA" w:rsidP="00EC1186">
      <w:pPr>
        <w:jc w:val="center"/>
        <w:rPr>
          <w:rFonts w:ascii="Kunstler Script" w:hAnsi="Kunstler Script"/>
          <w:smallCaps/>
          <w:sz w:val="48"/>
          <w:szCs w:val="48"/>
        </w:rPr>
      </w:pPr>
    </w:p>
    <w:p w:rsidR="00EC1186" w:rsidRPr="00E77E58" w:rsidRDefault="00E77E58" w:rsidP="00EC1186">
      <w:pPr>
        <w:jc w:val="center"/>
        <w:rPr>
          <w:rFonts w:ascii="Gill Sans MT" w:hAnsi="Gill Sans MT"/>
          <w:smallCaps/>
          <w:sz w:val="40"/>
          <w:szCs w:val="40"/>
        </w:rPr>
      </w:pPr>
      <w:r w:rsidRPr="00E77E58">
        <w:rPr>
          <w:rFonts w:ascii="Gill Sans MT" w:hAnsi="Gill Sans MT"/>
          <w:smallCaps/>
          <w:noProof/>
          <w:sz w:val="40"/>
          <w:szCs w:val="40"/>
        </w:rPr>
        <w:t>NAME OF SHOW</w:t>
      </w:r>
    </w:p>
    <w:p w:rsidR="007C226A" w:rsidRPr="007656DC" w:rsidRDefault="007C226A" w:rsidP="00EC1186">
      <w:pPr>
        <w:jc w:val="center"/>
        <w:rPr>
          <w:rFonts w:ascii="TypeVin" w:hAnsi="TypeVin"/>
          <w:b/>
          <w:sz w:val="20"/>
          <w:szCs w:val="20"/>
        </w:rPr>
      </w:pPr>
    </w:p>
    <w:p w:rsidR="00A85A00" w:rsidRPr="00D13C71" w:rsidRDefault="00EC1186" w:rsidP="00EC1186">
      <w:pPr>
        <w:jc w:val="center"/>
        <w:rPr>
          <w:rFonts w:ascii="Gill Sans MT" w:hAnsi="Gill Sans MT"/>
          <w:b/>
          <w:sz w:val="28"/>
          <w:szCs w:val="28"/>
        </w:rPr>
      </w:pPr>
      <w:r w:rsidRPr="00D13C71">
        <w:rPr>
          <w:rFonts w:ascii="Gill Sans MT" w:hAnsi="Gill Sans MT"/>
          <w:b/>
          <w:sz w:val="28"/>
          <w:szCs w:val="28"/>
        </w:rPr>
        <w:t xml:space="preserve">CALLING </w:t>
      </w:r>
      <w:smartTag w:uri="urn:schemas-microsoft-com:office:smarttags" w:element="stockticker">
        <w:r w:rsidRPr="00D13C71">
          <w:rPr>
            <w:rFonts w:ascii="Gill Sans MT" w:hAnsi="Gill Sans MT"/>
            <w:b/>
            <w:sz w:val="28"/>
            <w:szCs w:val="28"/>
          </w:rPr>
          <w:t>KEY</w:t>
        </w:r>
      </w:smartTag>
    </w:p>
    <w:p w:rsidR="00A85A00" w:rsidRPr="0048119A" w:rsidRDefault="00A85A00" w:rsidP="00A85A00">
      <w:pPr>
        <w:rPr>
          <w:rFonts w:ascii="Wingdings" w:hAnsi="Wingdings"/>
        </w:rPr>
      </w:pPr>
      <w:r w:rsidRPr="00D13C71">
        <w:rPr>
          <w:rFonts w:ascii="Gill Sans MT" w:hAnsi="Gill Sans MT"/>
        </w:rPr>
        <w:t>ABBREVIATIONS</w:t>
      </w:r>
      <w:r w:rsidR="0048119A">
        <w:rPr>
          <w:rFonts w:ascii="Gill Sans MT" w:hAnsi="Gill Sans MT"/>
        </w:rPr>
        <w:t xml:space="preserve">  </w:t>
      </w:r>
    </w:p>
    <w:p w:rsidR="00A85A00" w:rsidRPr="004C74BA" w:rsidRDefault="00A85A00" w:rsidP="00A85A00">
      <w:pPr>
        <w:rPr>
          <w:rFonts w:ascii="Gill Sans MT" w:hAnsi="Gill Sans MT"/>
          <w:sz w:val="20"/>
          <w:szCs w:val="20"/>
        </w:rPr>
      </w:pPr>
    </w:p>
    <w:tbl>
      <w:tblPr>
        <w:tblStyle w:val="TableGrid"/>
        <w:tblW w:w="8280" w:type="dxa"/>
        <w:tblInd w:w="1098" w:type="dxa"/>
        <w:tblLook w:val="01E0"/>
      </w:tblPr>
      <w:tblGrid>
        <w:gridCol w:w="1281"/>
        <w:gridCol w:w="6999"/>
      </w:tblGrid>
      <w:tr w:rsidR="00A85A00" w:rsidRPr="007C226A" w:rsidTr="0048119A">
        <w:trPr>
          <w:trHeight w:val="316"/>
        </w:trPr>
        <w:tc>
          <w:tcPr>
            <w:tcW w:w="1281" w:type="dxa"/>
            <w:vAlign w:val="center"/>
          </w:tcPr>
          <w:p w:rsidR="00A85A00" w:rsidRPr="007C226A" w:rsidRDefault="00A85A00" w:rsidP="008F04C6">
            <w:pPr>
              <w:jc w:val="center"/>
              <w:rPr>
                <w:rFonts w:ascii="Perpetua" w:hAnsi="Perpetua"/>
                <w:sz w:val="20"/>
                <w:szCs w:val="20"/>
              </w:rPr>
            </w:pPr>
            <w:r w:rsidRPr="007C226A">
              <w:rPr>
                <w:rFonts w:ascii="Perpetua" w:hAnsi="Perpetua"/>
                <w:sz w:val="20"/>
                <w:szCs w:val="20"/>
              </w:rPr>
              <w:t>LX</w:t>
            </w:r>
          </w:p>
        </w:tc>
        <w:tc>
          <w:tcPr>
            <w:tcW w:w="6999" w:type="dxa"/>
            <w:vAlign w:val="center"/>
          </w:tcPr>
          <w:p w:rsidR="00A85A00" w:rsidRPr="007C226A" w:rsidRDefault="00A85A00" w:rsidP="008F04C6">
            <w:pPr>
              <w:rPr>
                <w:rFonts w:ascii="Perpetua" w:hAnsi="Perpetua"/>
                <w:sz w:val="20"/>
                <w:szCs w:val="20"/>
              </w:rPr>
            </w:pPr>
            <w:r w:rsidRPr="007C226A">
              <w:rPr>
                <w:rFonts w:ascii="Perpetua" w:hAnsi="Perpetua"/>
                <w:sz w:val="20"/>
                <w:szCs w:val="20"/>
              </w:rPr>
              <w:t>Light Cue</w:t>
            </w:r>
          </w:p>
        </w:tc>
      </w:tr>
      <w:tr w:rsidR="00A85A00" w:rsidRPr="007C226A" w:rsidTr="0048119A">
        <w:trPr>
          <w:trHeight w:val="316"/>
        </w:trPr>
        <w:tc>
          <w:tcPr>
            <w:tcW w:w="1281" w:type="dxa"/>
            <w:vAlign w:val="center"/>
          </w:tcPr>
          <w:p w:rsidR="00A85A00" w:rsidRPr="007C226A" w:rsidRDefault="00A85A00" w:rsidP="008F04C6">
            <w:pPr>
              <w:jc w:val="center"/>
              <w:rPr>
                <w:rFonts w:ascii="Perpetua" w:hAnsi="Perpetua"/>
                <w:sz w:val="20"/>
                <w:szCs w:val="20"/>
              </w:rPr>
            </w:pPr>
            <w:r w:rsidRPr="007C226A">
              <w:rPr>
                <w:rFonts w:ascii="Perpetua" w:hAnsi="Perpetua"/>
                <w:sz w:val="20"/>
                <w:szCs w:val="20"/>
              </w:rPr>
              <w:t>SQ</w:t>
            </w:r>
          </w:p>
        </w:tc>
        <w:tc>
          <w:tcPr>
            <w:tcW w:w="6999" w:type="dxa"/>
            <w:vAlign w:val="center"/>
          </w:tcPr>
          <w:p w:rsidR="00A85A00" w:rsidRPr="007C226A" w:rsidRDefault="00A85A00" w:rsidP="008F04C6">
            <w:pPr>
              <w:rPr>
                <w:rFonts w:ascii="Perpetua" w:hAnsi="Perpetua"/>
                <w:sz w:val="20"/>
                <w:szCs w:val="20"/>
              </w:rPr>
            </w:pPr>
            <w:r w:rsidRPr="007C226A">
              <w:rPr>
                <w:rFonts w:ascii="Perpetua" w:hAnsi="Perpetua"/>
                <w:sz w:val="20"/>
                <w:szCs w:val="20"/>
              </w:rPr>
              <w:t>Sound Cue</w:t>
            </w:r>
          </w:p>
        </w:tc>
      </w:tr>
      <w:tr w:rsidR="004C74BA" w:rsidRPr="007C226A" w:rsidTr="0048119A">
        <w:trPr>
          <w:trHeight w:val="316"/>
        </w:trPr>
        <w:tc>
          <w:tcPr>
            <w:tcW w:w="1281" w:type="dxa"/>
            <w:vAlign w:val="center"/>
          </w:tcPr>
          <w:p w:rsidR="004C74BA" w:rsidRPr="007C226A" w:rsidRDefault="007C226A" w:rsidP="008F04C6">
            <w:pPr>
              <w:jc w:val="center"/>
              <w:rPr>
                <w:rFonts w:ascii="Perpetua" w:hAnsi="Perpetua"/>
                <w:sz w:val="20"/>
                <w:szCs w:val="20"/>
              </w:rPr>
            </w:pPr>
            <w:r>
              <w:rPr>
                <w:rFonts w:ascii="Perpetua" w:hAnsi="Perpetua"/>
                <w:sz w:val="20"/>
                <w:szCs w:val="20"/>
              </w:rPr>
              <w:t>SHIFT</w:t>
            </w:r>
          </w:p>
        </w:tc>
        <w:tc>
          <w:tcPr>
            <w:tcW w:w="6999" w:type="dxa"/>
            <w:vAlign w:val="center"/>
          </w:tcPr>
          <w:p w:rsidR="004C74BA" w:rsidRPr="007C226A" w:rsidRDefault="007C226A" w:rsidP="00E77E58">
            <w:pPr>
              <w:rPr>
                <w:rFonts w:ascii="Perpetua" w:hAnsi="Perpetua"/>
                <w:sz w:val="20"/>
                <w:szCs w:val="20"/>
              </w:rPr>
            </w:pPr>
            <w:r>
              <w:rPr>
                <w:rFonts w:ascii="Perpetua" w:hAnsi="Perpetua"/>
                <w:sz w:val="20"/>
                <w:szCs w:val="20"/>
              </w:rPr>
              <w:t xml:space="preserve">Scenic move onstage </w:t>
            </w:r>
            <w:r w:rsidR="00716CC8">
              <w:rPr>
                <w:rFonts w:ascii="Perpetua" w:hAnsi="Perpetua"/>
                <w:sz w:val="20"/>
                <w:szCs w:val="20"/>
              </w:rPr>
              <w:t xml:space="preserve">             </w:t>
            </w:r>
          </w:p>
        </w:tc>
      </w:tr>
      <w:tr w:rsidR="007C226A" w:rsidRPr="007C226A" w:rsidTr="0048119A">
        <w:trPr>
          <w:trHeight w:val="316"/>
        </w:trPr>
        <w:tc>
          <w:tcPr>
            <w:tcW w:w="1281" w:type="dxa"/>
            <w:vAlign w:val="center"/>
          </w:tcPr>
          <w:p w:rsidR="007C226A" w:rsidRDefault="007C226A" w:rsidP="008F04C6">
            <w:pPr>
              <w:jc w:val="center"/>
              <w:rPr>
                <w:rFonts w:ascii="Perpetua" w:hAnsi="Perpetua"/>
                <w:sz w:val="20"/>
                <w:szCs w:val="20"/>
              </w:rPr>
            </w:pPr>
          </w:p>
        </w:tc>
        <w:tc>
          <w:tcPr>
            <w:tcW w:w="6999" w:type="dxa"/>
            <w:vAlign w:val="center"/>
          </w:tcPr>
          <w:p w:rsidR="007C226A" w:rsidRDefault="007C226A" w:rsidP="008F04C6">
            <w:pPr>
              <w:rPr>
                <w:rFonts w:ascii="Perpetua" w:hAnsi="Perpetua"/>
                <w:sz w:val="20"/>
                <w:szCs w:val="20"/>
              </w:rPr>
            </w:pPr>
          </w:p>
        </w:tc>
      </w:tr>
      <w:tr w:rsidR="007C226A" w:rsidRPr="007C226A" w:rsidTr="0048119A">
        <w:trPr>
          <w:trHeight w:val="316"/>
        </w:trPr>
        <w:tc>
          <w:tcPr>
            <w:tcW w:w="1281" w:type="dxa"/>
            <w:vAlign w:val="center"/>
          </w:tcPr>
          <w:p w:rsidR="007C226A" w:rsidRDefault="007C226A" w:rsidP="008F04C6">
            <w:pPr>
              <w:jc w:val="center"/>
              <w:rPr>
                <w:rFonts w:ascii="Perpetua" w:hAnsi="Perpetua"/>
                <w:sz w:val="20"/>
                <w:szCs w:val="20"/>
              </w:rPr>
            </w:pPr>
            <w:r>
              <w:rPr>
                <w:rFonts w:ascii="Perpetua" w:hAnsi="Perpetua"/>
                <w:sz w:val="20"/>
                <w:szCs w:val="20"/>
              </w:rPr>
              <w:t>S/B</w:t>
            </w:r>
          </w:p>
        </w:tc>
        <w:tc>
          <w:tcPr>
            <w:tcW w:w="6999" w:type="dxa"/>
            <w:vAlign w:val="center"/>
          </w:tcPr>
          <w:p w:rsidR="007C226A" w:rsidRDefault="007C226A" w:rsidP="008F04C6">
            <w:pPr>
              <w:rPr>
                <w:rFonts w:ascii="Perpetua" w:hAnsi="Perpetua"/>
                <w:sz w:val="20"/>
                <w:szCs w:val="20"/>
              </w:rPr>
            </w:pPr>
            <w:r>
              <w:rPr>
                <w:rFonts w:ascii="Perpetua" w:hAnsi="Perpetua"/>
                <w:sz w:val="20"/>
                <w:szCs w:val="20"/>
              </w:rPr>
              <w:t>Standby for one or a series of cues- listed in small yellow post-it, always in above order!</w:t>
            </w:r>
          </w:p>
        </w:tc>
      </w:tr>
      <w:tr w:rsidR="0048119A" w:rsidRPr="007C226A" w:rsidTr="0048119A">
        <w:trPr>
          <w:trHeight w:val="359"/>
        </w:trPr>
        <w:tc>
          <w:tcPr>
            <w:tcW w:w="1281" w:type="dxa"/>
            <w:vAlign w:val="center"/>
          </w:tcPr>
          <w:p w:rsidR="0048119A" w:rsidRDefault="0048119A" w:rsidP="008F04C6">
            <w:pPr>
              <w:jc w:val="center"/>
              <w:rPr>
                <w:rFonts w:ascii="Perpetua" w:hAnsi="Perpetua"/>
                <w:sz w:val="20"/>
                <w:szCs w:val="20"/>
              </w:rPr>
            </w:pPr>
            <w:r w:rsidRPr="0048119A">
              <w:rPr>
                <w:rFonts w:ascii="Wingdings 3" w:hAnsi="Wingdings 3"/>
              </w:rPr>
              <w:t></w:t>
            </w:r>
            <w:r>
              <w:rPr>
                <w:rFonts w:ascii="Wingdings 3" w:hAnsi="Wingdings 3"/>
              </w:rPr>
              <w:t></w:t>
            </w:r>
            <w:r w:rsidRPr="0048119A">
              <w:rPr>
                <w:rFonts w:ascii="Gill Sans MT" w:hAnsi="Gill Sans MT"/>
                <w:sz w:val="16"/>
                <w:szCs w:val="16"/>
              </w:rPr>
              <w:t>or</w:t>
            </w:r>
            <w:r>
              <w:rPr>
                <w:rFonts w:ascii="Wingdings 3" w:hAnsi="Wingdings 3"/>
              </w:rPr>
              <w:t></w:t>
            </w:r>
            <w:r w:rsidRPr="0048119A">
              <w:rPr>
                <w:rFonts w:ascii="Wingdings 3" w:hAnsi="Wingdings 3"/>
              </w:rPr>
              <w:t></w:t>
            </w:r>
            <w:r w:rsidRPr="0048119A">
              <w:rPr>
                <w:rFonts w:ascii="Wingdings 3" w:hAnsi="Wingdings 3"/>
              </w:rPr>
              <w:t></w:t>
            </w:r>
          </w:p>
        </w:tc>
        <w:tc>
          <w:tcPr>
            <w:tcW w:w="6999" w:type="dxa"/>
            <w:vAlign w:val="center"/>
          </w:tcPr>
          <w:p w:rsidR="0048119A" w:rsidRDefault="0048119A" w:rsidP="008F04C6">
            <w:pPr>
              <w:rPr>
                <w:rFonts w:ascii="Perpetua" w:hAnsi="Perpetua"/>
                <w:sz w:val="20"/>
                <w:szCs w:val="20"/>
              </w:rPr>
            </w:pPr>
            <w:r>
              <w:rPr>
                <w:rFonts w:ascii="Perpetua" w:hAnsi="Perpetua"/>
                <w:sz w:val="20"/>
                <w:szCs w:val="20"/>
              </w:rPr>
              <w:t>Cue lights ON (standby)- one arrow for single cue light, double arrow for multiple cue lights</w:t>
            </w:r>
          </w:p>
        </w:tc>
      </w:tr>
      <w:tr w:rsidR="0048119A" w:rsidRPr="007C226A" w:rsidTr="0048119A">
        <w:trPr>
          <w:trHeight w:val="350"/>
        </w:trPr>
        <w:tc>
          <w:tcPr>
            <w:tcW w:w="1281" w:type="dxa"/>
            <w:vAlign w:val="center"/>
          </w:tcPr>
          <w:p w:rsidR="0048119A" w:rsidRDefault="0048119A" w:rsidP="008F04C6">
            <w:pPr>
              <w:jc w:val="center"/>
              <w:rPr>
                <w:rFonts w:ascii="Perpetua" w:hAnsi="Perpetua"/>
                <w:sz w:val="20"/>
                <w:szCs w:val="20"/>
              </w:rPr>
            </w:pPr>
            <w:r w:rsidRPr="0048119A">
              <w:rPr>
                <w:rFonts w:ascii="Wingdings 3" w:hAnsi="Wingdings 3"/>
              </w:rPr>
              <w:t></w:t>
            </w:r>
            <w:r>
              <w:rPr>
                <w:rFonts w:ascii="Wingdings 3" w:hAnsi="Wingdings 3"/>
              </w:rPr>
              <w:t></w:t>
            </w:r>
            <w:r w:rsidRPr="0048119A">
              <w:rPr>
                <w:rFonts w:ascii="Gill Sans MT" w:hAnsi="Gill Sans MT"/>
                <w:sz w:val="16"/>
                <w:szCs w:val="16"/>
              </w:rPr>
              <w:t>or</w:t>
            </w:r>
            <w:r>
              <w:rPr>
                <w:rFonts w:ascii="Wingdings 3" w:hAnsi="Wingdings 3"/>
              </w:rPr>
              <w:t></w:t>
            </w:r>
            <w:r w:rsidRPr="0048119A">
              <w:rPr>
                <w:rFonts w:ascii="Wingdings 3" w:hAnsi="Wingdings 3"/>
              </w:rPr>
              <w:t></w:t>
            </w:r>
            <w:r w:rsidRPr="0048119A">
              <w:rPr>
                <w:rFonts w:ascii="Wingdings 3" w:hAnsi="Wingdings 3"/>
              </w:rPr>
              <w:t></w:t>
            </w:r>
          </w:p>
        </w:tc>
        <w:tc>
          <w:tcPr>
            <w:tcW w:w="6999" w:type="dxa"/>
            <w:vAlign w:val="center"/>
          </w:tcPr>
          <w:p w:rsidR="0048119A" w:rsidRDefault="0048119A" w:rsidP="008F04C6">
            <w:pPr>
              <w:rPr>
                <w:rFonts w:ascii="Perpetua" w:hAnsi="Perpetua"/>
                <w:sz w:val="20"/>
                <w:szCs w:val="20"/>
              </w:rPr>
            </w:pPr>
            <w:r>
              <w:rPr>
                <w:rFonts w:ascii="Perpetua" w:hAnsi="Perpetua"/>
                <w:sz w:val="20"/>
                <w:szCs w:val="20"/>
              </w:rPr>
              <w:t>Cue lights OFF (GO)- one arrow for single cue light, double arrow for multiple cue lights</w:t>
            </w:r>
          </w:p>
        </w:tc>
      </w:tr>
    </w:tbl>
    <w:p w:rsidR="00CF5429" w:rsidRPr="00B66C2C" w:rsidRDefault="00CF5429">
      <w:pPr>
        <w:rPr>
          <w:rFonts w:ascii="Gill Sans MT" w:hAnsi="Gill Sans MT"/>
          <w:sz w:val="18"/>
          <w:szCs w:val="18"/>
        </w:rPr>
      </w:pPr>
    </w:p>
    <w:p w:rsidR="004C74BA" w:rsidRPr="00E77E58" w:rsidRDefault="00E77E58">
      <w:pPr>
        <w:rPr>
          <w:rFonts w:ascii="Gill Sans MT" w:hAnsi="Gill Sans MT"/>
          <w:i/>
          <w:color w:val="4F81BD" w:themeColor="accent1"/>
        </w:rPr>
      </w:pPr>
      <w:r w:rsidRPr="00E77E58">
        <w:rPr>
          <w:rFonts w:ascii="Gill Sans MT" w:hAnsi="Gill Sans MT"/>
          <w:i/>
          <w:color w:val="4F81BD" w:themeColor="accent1"/>
        </w:rPr>
        <w:tab/>
        <w:t xml:space="preserve">   Add rows to the table for other relevant cues in your show</w:t>
      </w:r>
    </w:p>
    <w:p w:rsidR="00E77E58" w:rsidRDefault="00E77E58">
      <w:pPr>
        <w:rPr>
          <w:rFonts w:ascii="Gill Sans MT" w:hAnsi="Gill Sans MT"/>
          <w:sz w:val="16"/>
          <w:szCs w:val="16"/>
        </w:rPr>
      </w:pPr>
    </w:p>
    <w:p w:rsidR="00E77E58" w:rsidRPr="007656DC" w:rsidRDefault="00E77E58">
      <w:pPr>
        <w:rPr>
          <w:rFonts w:ascii="Gill Sans MT" w:hAnsi="Gill Sans MT"/>
          <w:sz w:val="16"/>
          <w:szCs w:val="16"/>
        </w:rPr>
      </w:pPr>
    </w:p>
    <w:p w:rsidR="00D13C71" w:rsidRDefault="00D13C71" w:rsidP="00A85A00">
      <w:pPr>
        <w:rPr>
          <w:rFonts w:ascii="Gill Sans MT" w:hAnsi="Gill Sans MT"/>
        </w:rPr>
      </w:pPr>
      <w:r>
        <w:rPr>
          <w:rFonts w:ascii="Gill Sans MT" w:hAnsi="Gill Sans MT"/>
        </w:rPr>
        <w:t>CUE LIGHTS</w:t>
      </w:r>
    </w:p>
    <w:p w:rsidR="00D13C71" w:rsidRDefault="00D13C71" w:rsidP="00A85A00">
      <w:pPr>
        <w:rPr>
          <w:rFonts w:ascii="Gill Sans MT" w:hAnsi="Gill Sans MT"/>
        </w:rPr>
      </w:pPr>
      <w:r>
        <w:rPr>
          <w:rFonts w:ascii="Gill Sans MT" w:hAnsi="Gill Sans MT"/>
        </w:rPr>
        <w:tab/>
      </w:r>
    </w:p>
    <w:p w:rsidR="00D13C71" w:rsidRPr="00E77E58" w:rsidRDefault="00D13C71" w:rsidP="00A85A00">
      <w:pPr>
        <w:rPr>
          <w:rFonts w:ascii="Gill Sans MT" w:hAnsi="Gill Sans MT"/>
          <w:i/>
          <w:color w:val="4F81BD" w:themeColor="accent1"/>
        </w:rPr>
      </w:pPr>
      <w:r w:rsidRPr="00E77E58">
        <w:rPr>
          <w:rFonts w:ascii="Gill Sans MT" w:hAnsi="Gill Sans MT"/>
          <w:i/>
          <w:color w:val="4F81BD" w:themeColor="accent1"/>
        </w:rPr>
        <w:tab/>
      </w:r>
      <w:r w:rsidR="00E77E58" w:rsidRPr="00E77E58">
        <w:rPr>
          <w:rFonts w:ascii="Gill Sans MT" w:hAnsi="Gill Sans MT"/>
          <w:i/>
          <w:color w:val="4F81BD" w:themeColor="accent1"/>
        </w:rPr>
        <w:t xml:space="preserve">If you can, insert a small labeled </w:t>
      </w:r>
      <w:proofErr w:type="spellStart"/>
      <w:r w:rsidR="00E77E58" w:rsidRPr="00E77E58">
        <w:rPr>
          <w:rFonts w:ascii="Gill Sans MT" w:hAnsi="Gill Sans MT"/>
          <w:i/>
          <w:color w:val="4F81BD" w:themeColor="accent1"/>
        </w:rPr>
        <w:t>groundplan</w:t>
      </w:r>
      <w:proofErr w:type="spellEnd"/>
      <w:r w:rsidR="00E77E58" w:rsidRPr="00E77E58">
        <w:rPr>
          <w:rFonts w:ascii="Gill Sans MT" w:hAnsi="Gill Sans MT"/>
          <w:i/>
          <w:color w:val="4F81BD" w:themeColor="accent1"/>
        </w:rPr>
        <w:t xml:space="preserve"> to show where the cue lights are located backstage</w:t>
      </w:r>
    </w:p>
    <w:p w:rsidR="00D13C71" w:rsidRDefault="00D13C71" w:rsidP="00A85A00">
      <w:pPr>
        <w:rPr>
          <w:rFonts w:ascii="Gill Sans MT" w:hAnsi="Gill Sans MT"/>
        </w:rPr>
      </w:pPr>
    </w:p>
    <w:p w:rsidR="007656DC" w:rsidRDefault="007656DC" w:rsidP="00A85A00">
      <w:pPr>
        <w:rPr>
          <w:rFonts w:ascii="Gill Sans MT" w:hAnsi="Gill Sans MT"/>
        </w:rPr>
      </w:pPr>
    </w:p>
    <w:p w:rsidR="007656DC" w:rsidRDefault="007656DC" w:rsidP="00A85A00">
      <w:pPr>
        <w:rPr>
          <w:rFonts w:ascii="Gill Sans MT" w:hAnsi="Gill Sans MT"/>
        </w:rPr>
      </w:pPr>
    </w:p>
    <w:p w:rsidR="007656DC" w:rsidRDefault="007656DC" w:rsidP="00A85A00">
      <w:pPr>
        <w:rPr>
          <w:rFonts w:ascii="Gill Sans MT" w:hAnsi="Gill Sans MT"/>
        </w:rPr>
      </w:pPr>
    </w:p>
    <w:p w:rsidR="007656DC" w:rsidRDefault="007656DC" w:rsidP="00A85A00">
      <w:pPr>
        <w:rPr>
          <w:rFonts w:ascii="Gill Sans MT" w:hAnsi="Gill Sans MT"/>
        </w:rPr>
      </w:pPr>
    </w:p>
    <w:p w:rsidR="007656DC" w:rsidRDefault="007656DC" w:rsidP="00A85A00">
      <w:pPr>
        <w:rPr>
          <w:rFonts w:ascii="Gill Sans MT" w:hAnsi="Gill Sans MT"/>
        </w:rPr>
      </w:pPr>
    </w:p>
    <w:p w:rsidR="007656DC" w:rsidRDefault="007656DC" w:rsidP="00A85A00">
      <w:pPr>
        <w:rPr>
          <w:rFonts w:ascii="Gill Sans MT" w:hAnsi="Gill Sans MT"/>
        </w:rPr>
      </w:pPr>
    </w:p>
    <w:p w:rsidR="007656DC" w:rsidRPr="00B66C2C" w:rsidRDefault="007656DC" w:rsidP="00A85A00">
      <w:pPr>
        <w:rPr>
          <w:rFonts w:ascii="Gill Sans MT" w:hAnsi="Gill Sans MT"/>
          <w:sz w:val="32"/>
          <w:szCs w:val="32"/>
        </w:rPr>
      </w:pPr>
    </w:p>
    <w:p w:rsidR="00A85A00" w:rsidRPr="00D13C71" w:rsidRDefault="00A85A00" w:rsidP="00A85A00">
      <w:pPr>
        <w:rPr>
          <w:rFonts w:ascii="Gill Sans MT" w:hAnsi="Gill Sans MT"/>
        </w:rPr>
      </w:pPr>
      <w:r w:rsidRPr="00D13C71">
        <w:rPr>
          <w:rFonts w:ascii="Gill Sans MT" w:hAnsi="Gill Sans MT"/>
        </w:rPr>
        <w:t>PLACEMENT WITHIN SCRIPT</w:t>
      </w:r>
    </w:p>
    <w:p w:rsidR="004C74BA" w:rsidRDefault="004C74BA" w:rsidP="00367830">
      <w:pPr>
        <w:ind w:left="1080" w:right="-180"/>
        <w:rPr>
          <w:rFonts w:ascii="Gill Sans MT" w:hAnsi="Gill Sans MT"/>
          <w:sz w:val="20"/>
          <w:szCs w:val="20"/>
        </w:rPr>
      </w:pPr>
    </w:p>
    <w:p w:rsidR="00A85A00" w:rsidRPr="00D13C71" w:rsidRDefault="00A85A00" w:rsidP="00D13C71">
      <w:pPr>
        <w:pStyle w:val="ListParagraph"/>
        <w:numPr>
          <w:ilvl w:val="0"/>
          <w:numId w:val="1"/>
        </w:numPr>
        <w:ind w:left="1080" w:right="-180" w:hanging="630"/>
        <w:rPr>
          <w:rFonts w:ascii="Gill Sans MT" w:hAnsi="Gill Sans MT"/>
          <w:sz w:val="18"/>
          <w:szCs w:val="18"/>
        </w:rPr>
      </w:pPr>
      <w:r w:rsidRPr="00D13C71">
        <w:rPr>
          <w:rFonts w:ascii="Gill Sans MT" w:hAnsi="Gill Sans MT"/>
          <w:sz w:val="18"/>
          <w:szCs w:val="18"/>
        </w:rPr>
        <w:t>A cue drawn to a line of text with a box placed around a single word or syllable means the GO is called on that word</w:t>
      </w:r>
    </w:p>
    <w:p w:rsidR="00A85A00" w:rsidRPr="00D13C71" w:rsidRDefault="00A85A00" w:rsidP="00D13C71">
      <w:pPr>
        <w:ind w:left="1080" w:hanging="630"/>
        <w:rPr>
          <w:rFonts w:ascii="Gill Sans MT" w:hAnsi="Gill Sans MT"/>
          <w:sz w:val="18"/>
          <w:szCs w:val="18"/>
        </w:rPr>
      </w:pPr>
    </w:p>
    <w:p w:rsidR="00A85A00" w:rsidRPr="00D13C71" w:rsidRDefault="00A85A00"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to a line of text with an X at the beginning or end of the line means the GO is called immediately before or after that line</w:t>
      </w:r>
      <w:r w:rsidR="007C226A" w:rsidRPr="00D13C71">
        <w:rPr>
          <w:rFonts w:ascii="Gill Sans MT" w:hAnsi="Gill Sans MT"/>
          <w:sz w:val="18"/>
          <w:szCs w:val="18"/>
        </w:rPr>
        <w:t>/lyric</w:t>
      </w:r>
    </w:p>
    <w:p w:rsidR="007C226A" w:rsidRPr="00D13C71" w:rsidRDefault="007C226A" w:rsidP="00D13C71">
      <w:pPr>
        <w:ind w:left="1080" w:hanging="630"/>
        <w:rPr>
          <w:rFonts w:ascii="Gill Sans MT" w:hAnsi="Gill Sans MT"/>
          <w:sz w:val="18"/>
          <w:szCs w:val="18"/>
        </w:rPr>
      </w:pPr>
    </w:p>
    <w:p w:rsidR="007C226A" w:rsidRPr="00D13C71" w:rsidRDefault="007C226A"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along a line/lyric with no specific box or X but with an action written to the right of the cue means the GO is called on that specific action of the character, which generally occurs during the line or lyric underlined</w:t>
      </w:r>
    </w:p>
    <w:p w:rsidR="007C226A" w:rsidRPr="00D13C71" w:rsidRDefault="007C226A" w:rsidP="00D13C71">
      <w:pPr>
        <w:ind w:left="1080" w:hanging="630"/>
        <w:rPr>
          <w:rFonts w:ascii="Gill Sans MT" w:hAnsi="Gill Sans MT"/>
          <w:sz w:val="18"/>
          <w:szCs w:val="18"/>
        </w:rPr>
      </w:pPr>
    </w:p>
    <w:p w:rsidR="00D13C71" w:rsidRPr="00D13C71" w:rsidRDefault="00D13C71"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along a line/lyric with no specific box or X but with “</w:t>
      </w:r>
      <w:proofErr w:type="spellStart"/>
      <w:r w:rsidRPr="00D13C71">
        <w:rPr>
          <w:rFonts w:ascii="Gill Sans MT" w:hAnsi="Gill Sans MT"/>
          <w:sz w:val="18"/>
          <w:szCs w:val="18"/>
        </w:rPr>
        <w:t>vox</w:t>
      </w:r>
      <w:proofErr w:type="spellEnd"/>
      <w:r w:rsidRPr="00D13C71">
        <w:rPr>
          <w:rFonts w:ascii="Gill Sans MT" w:hAnsi="Gill Sans MT"/>
          <w:sz w:val="18"/>
          <w:szCs w:val="18"/>
        </w:rPr>
        <w:t>” to the right of the cue means the GO is called to anticipate the vocals in that song or verse</w:t>
      </w:r>
    </w:p>
    <w:p w:rsidR="00D13C71" w:rsidRPr="00D13C71" w:rsidRDefault="00D13C71" w:rsidP="00D13C71">
      <w:pPr>
        <w:ind w:left="1080" w:hanging="630"/>
        <w:rPr>
          <w:rFonts w:ascii="Gill Sans MT" w:hAnsi="Gill Sans MT"/>
          <w:sz w:val="18"/>
          <w:szCs w:val="18"/>
        </w:rPr>
      </w:pPr>
    </w:p>
    <w:p w:rsidR="007C226A" w:rsidRPr="00D13C71" w:rsidRDefault="007C226A"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to one in a series of numbers means the GO is called on that specific beat</w:t>
      </w:r>
      <w:r w:rsidR="00D13C71" w:rsidRPr="00D13C71">
        <w:rPr>
          <w:rFonts w:ascii="Gill Sans MT" w:hAnsi="Gill Sans MT"/>
          <w:sz w:val="18"/>
          <w:szCs w:val="18"/>
        </w:rPr>
        <w:t>- may also be seen as “on 3” or similar notation for calling GO within the measure preceding the vocals</w:t>
      </w:r>
    </w:p>
    <w:p w:rsidR="007C226A" w:rsidRPr="00D13C71" w:rsidRDefault="007C226A" w:rsidP="00D13C71">
      <w:pPr>
        <w:ind w:left="1080" w:hanging="630"/>
        <w:rPr>
          <w:rFonts w:ascii="Gill Sans MT" w:hAnsi="Gill Sans MT"/>
          <w:sz w:val="18"/>
          <w:szCs w:val="18"/>
        </w:rPr>
      </w:pPr>
      <w:r w:rsidRPr="00D13C71">
        <w:rPr>
          <w:rFonts w:ascii="Gill Sans MT" w:hAnsi="Gill Sans MT"/>
          <w:noProof/>
          <w:sz w:val="18"/>
          <w:szCs w:val="18"/>
        </w:rPr>
        <w:drawing>
          <wp:anchor distT="0" distB="0" distL="114300" distR="114300" simplePos="0" relativeHeight="251658240" behindDoc="1" locked="0" layoutInCell="1" allowOverlap="1">
            <wp:simplePos x="0" y="0"/>
            <wp:positionH relativeFrom="column">
              <wp:posOffset>2089785</wp:posOffset>
            </wp:positionH>
            <wp:positionV relativeFrom="paragraph">
              <wp:posOffset>135890</wp:posOffset>
            </wp:positionV>
            <wp:extent cx="212725" cy="197485"/>
            <wp:effectExtent l="19050" t="19050" r="15875" b="12065"/>
            <wp:wrapTight wrapText="bothSides">
              <wp:wrapPolygon edited="0">
                <wp:start x="-1934" y="-2084"/>
                <wp:lineTo x="-1934" y="22920"/>
                <wp:lineTo x="23212" y="22920"/>
                <wp:lineTo x="23212" y="-2084"/>
                <wp:lineTo x="-1934" y="-2084"/>
              </wp:wrapPolygon>
            </wp:wrapTight>
            <wp:docPr id="2" name="Picture 1" descr="http://www.clipartguide.com/_small/0808-0710-3112-3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guide.com/_small/0808-0710-3112-3855.jpg"/>
                    <pic:cNvPicPr>
                      <a:picLocks noChangeAspect="1" noChangeArrowheads="1"/>
                    </pic:cNvPicPr>
                  </pic:nvPicPr>
                  <pic:blipFill>
                    <a:blip r:embed="rId7" cstate="print"/>
                    <a:srcRect/>
                    <a:stretch>
                      <a:fillRect/>
                    </a:stretch>
                  </pic:blipFill>
                  <pic:spPr bwMode="auto">
                    <a:xfrm>
                      <a:off x="0" y="0"/>
                      <a:ext cx="212725" cy="197485"/>
                    </a:xfrm>
                    <a:prstGeom prst="rect">
                      <a:avLst/>
                    </a:prstGeom>
                    <a:noFill/>
                    <a:ln w="9525">
                      <a:solidFill>
                        <a:schemeClr val="tx1"/>
                      </a:solidFill>
                      <a:miter lim="800000"/>
                      <a:headEnd/>
                      <a:tailEnd/>
                    </a:ln>
                  </pic:spPr>
                </pic:pic>
              </a:graphicData>
            </a:graphic>
          </wp:anchor>
        </w:drawing>
      </w:r>
    </w:p>
    <w:p w:rsidR="007C226A" w:rsidRPr="00D13C71" w:rsidRDefault="007C226A"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A cue drawn to the symbol means the cue is called with the conductor on the downbeat of the music</w:t>
      </w:r>
    </w:p>
    <w:p w:rsidR="00A85A00" w:rsidRPr="00D13C71" w:rsidRDefault="00A85A00" w:rsidP="00D13C71">
      <w:pPr>
        <w:ind w:left="1080" w:hanging="630"/>
        <w:rPr>
          <w:rFonts w:ascii="Gill Sans MT" w:hAnsi="Gill Sans MT"/>
          <w:sz w:val="18"/>
          <w:szCs w:val="18"/>
        </w:rPr>
      </w:pPr>
    </w:p>
    <w:p w:rsidR="00A85A00" w:rsidRPr="00D13C71" w:rsidRDefault="00D13C71" w:rsidP="00D13C71">
      <w:pPr>
        <w:pStyle w:val="ListParagraph"/>
        <w:numPr>
          <w:ilvl w:val="0"/>
          <w:numId w:val="1"/>
        </w:numPr>
        <w:ind w:left="1080" w:hanging="630"/>
        <w:rPr>
          <w:rFonts w:ascii="Gill Sans MT" w:hAnsi="Gill Sans MT"/>
          <w:sz w:val="18"/>
          <w:szCs w:val="18"/>
        </w:rPr>
      </w:pPr>
      <w:r w:rsidRPr="00D13C71">
        <w:rPr>
          <w:rFonts w:ascii="Gill Sans MT" w:hAnsi="Gill Sans MT"/>
          <w:sz w:val="18"/>
          <w:szCs w:val="18"/>
        </w:rPr>
        <w:t>C</w:t>
      </w:r>
      <w:r w:rsidR="00A85A00" w:rsidRPr="00D13C71">
        <w:rPr>
          <w:rFonts w:ascii="Gill Sans MT" w:hAnsi="Gill Sans MT"/>
          <w:sz w:val="18"/>
          <w:szCs w:val="18"/>
        </w:rPr>
        <w:t>ues which are bracketed together should be called simultaneously with a single GO</w:t>
      </w:r>
    </w:p>
    <w:p w:rsidR="00A85A00" w:rsidRPr="00D13C71" w:rsidRDefault="00A85A00" w:rsidP="00D13C71">
      <w:pPr>
        <w:ind w:left="1080" w:hanging="630"/>
        <w:rPr>
          <w:rFonts w:ascii="Gill Sans MT" w:hAnsi="Gill Sans MT"/>
          <w:sz w:val="18"/>
          <w:szCs w:val="18"/>
        </w:rPr>
      </w:pPr>
    </w:p>
    <w:p w:rsidR="00A85A00" w:rsidRPr="00E77E58" w:rsidRDefault="00A85A00" w:rsidP="00D13C71">
      <w:pPr>
        <w:pStyle w:val="ListParagraph"/>
        <w:numPr>
          <w:ilvl w:val="0"/>
          <w:numId w:val="1"/>
        </w:numPr>
        <w:ind w:left="1080" w:hanging="630"/>
        <w:rPr>
          <w:rFonts w:ascii="Gill Sans MT" w:hAnsi="Gill Sans MT"/>
          <w:b/>
          <w:sz w:val="18"/>
          <w:szCs w:val="18"/>
        </w:rPr>
      </w:pPr>
      <w:r w:rsidRPr="00D13C71">
        <w:rPr>
          <w:rFonts w:ascii="Gill Sans MT" w:hAnsi="Gill Sans MT"/>
          <w:sz w:val="18"/>
          <w:szCs w:val="18"/>
        </w:rPr>
        <w:t>Descriptions of cue action or sound effect are provided within cue box whenever possible</w:t>
      </w:r>
    </w:p>
    <w:p w:rsidR="00E77E58" w:rsidRPr="00E77E58" w:rsidRDefault="00E77E58" w:rsidP="00E77E58">
      <w:pPr>
        <w:pStyle w:val="ListParagraph"/>
        <w:rPr>
          <w:rFonts w:ascii="Gill Sans MT" w:hAnsi="Gill Sans MT"/>
          <w:b/>
          <w:sz w:val="18"/>
          <w:szCs w:val="18"/>
        </w:rPr>
      </w:pPr>
    </w:p>
    <w:p w:rsidR="00E77E58" w:rsidRDefault="00E77E58" w:rsidP="00E77E58">
      <w:pPr>
        <w:rPr>
          <w:rFonts w:ascii="Gill Sans MT" w:hAnsi="Gill Sans MT"/>
          <w:b/>
          <w:sz w:val="18"/>
          <w:szCs w:val="18"/>
        </w:rPr>
      </w:pPr>
    </w:p>
    <w:p w:rsidR="00E77E58" w:rsidRPr="00E77E58" w:rsidRDefault="00E77E58" w:rsidP="00E77E58">
      <w:pPr>
        <w:rPr>
          <w:rFonts w:ascii="Gill Sans MT" w:hAnsi="Gill Sans MT"/>
          <w:b/>
          <w:color w:val="4F81BD" w:themeColor="accent1"/>
          <w:sz w:val="18"/>
          <w:szCs w:val="18"/>
        </w:rPr>
      </w:pPr>
      <w:r w:rsidRPr="00E77E58">
        <w:rPr>
          <w:rFonts w:ascii="Gill Sans MT" w:hAnsi="Gill Sans MT"/>
          <w:b/>
          <w:color w:val="4F81BD" w:themeColor="accent1"/>
          <w:sz w:val="18"/>
          <w:szCs w:val="18"/>
        </w:rPr>
        <w:t>Obviously you can delete the musical references if you are working on a play!</w:t>
      </w:r>
    </w:p>
    <w:p w:rsidR="00B9774A" w:rsidRPr="007656DC" w:rsidRDefault="00B9774A" w:rsidP="00B9774A">
      <w:pPr>
        <w:jc w:val="center"/>
        <w:rPr>
          <w:rFonts w:ascii="Gill Sans MT" w:hAnsi="Gill Sans MT"/>
          <w:sz w:val="40"/>
          <w:szCs w:val="40"/>
        </w:rPr>
      </w:pPr>
    </w:p>
    <w:p w:rsidR="00E77E58" w:rsidRDefault="00E77E58" w:rsidP="00367830">
      <w:pPr>
        <w:jc w:val="center"/>
        <w:rPr>
          <w:rFonts w:ascii="Gill Sans MT" w:hAnsi="Gill Sans MT"/>
          <w:i/>
          <w:color w:val="4F81BD" w:themeColor="accent1"/>
        </w:rPr>
      </w:pPr>
      <w:r w:rsidRPr="00E77E58">
        <w:rPr>
          <w:rFonts w:ascii="Gill Sans MT" w:hAnsi="Gill Sans MT"/>
          <w:i/>
          <w:color w:val="4F81BD" w:themeColor="accent1"/>
        </w:rPr>
        <w:t xml:space="preserve">Include a small sample or sample page if extra complicated </w:t>
      </w:r>
    </w:p>
    <w:p w:rsidR="00D13C71" w:rsidRPr="00E77E58" w:rsidRDefault="00E77E58" w:rsidP="00367830">
      <w:pPr>
        <w:jc w:val="center"/>
        <w:rPr>
          <w:rFonts w:ascii="Gill Sans MT" w:hAnsi="Gill Sans MT"/>
          <w:i/>
          <w:color w:val="4F81BD" w:themeColor="accent1"/>
        </w:rPr>
      </w:pPr>
      <w:proofErr w:type="gramStart"/>
      <w:r w:rsidRPr="00E77E58">
        <w:rPr>
          <w:rFonts w:ascii="Gill Sans MT" w:hAnsi="Gill Sans MT"/>
          <w:i/>
          <w:color w:val="4F81BD" w:themeColor="accent1"/>
        </w:rPr>
        <w:t>or</w:t>
      </w:r>
      <w:proofErr w:type="gramEnd"/>
      <w:r w:rsidRPr="00E77E58">
        <w:rPr>
          <w:rFonts w:ascii="Gill Sans MT" w:hAnsi="Gill Sans MT"/>
          <w:i/>
          <w:color w:val="4F81BD" w:themeColor="accent1"/>
        </w:rPr>
        <w:t xml:space="preserve"> if you will not participate at all in handoff of show</w:t>
      </w:r>
    </w:p>
    <w:p w:rsidR="00367830" w:rsidRPr="004C74BA" w:rsidRDefault="00E616AF">
      <w:pPr>
        <w:rPr>
          <w:rFonts w:ascii="Gill Sans MT" w:hAnsi="Gill Sans MT"/>
        </w:rPr>
      </w:pPr>
      <w:r w:rsidRPr="00E616AF">
        <w:rPr>
          <w:rFonts w:ascii="Perpetua" w:hAnsi="Perpetua"/>
          <w:noProof/>
          <w:sz w:val="20"/>
          <w:szCs w:val="20"/>
        </w:rPr>
        <w:pict>
          <v:oval id="_x0000_s1054" style="position:absolute;margin-left:44pt;margin-top:625.65pt;width:52.65pt;height:49.45pt;z-index:251692032" fillcolor="#c00000" stroked="f" strokecolor="#c00000">
            <v:fill opacity="9830f"/>
          </v:oval>
        </w:pict>
      </w:r>
      <w:r w:rsidRPr="00E616AF">
        <w:rPr>
          <w:rFonts w:ascii="Perpetua" w:hAnsi="Perpetua"/>
          <w:noProof/>
          <w:sz w:val="20"/>
          <w:szCs w:val="20"/>
        </w:rPr>
        <w:pict>
          <v:oval id="_x0000_s1053" style="position:absolute;margin-left:364.25pt;margin-top:525.75pt;width:52.65pt;height:49.45pt;z-index:251691008" fillcolor="#c00000" stroked="f" strokecolor="#c00000">
            <v:fill opacity="9830f"/>
          </v:oval>
        </w:pict>
      </w:r>
      <w:r w:rsidRPr="00E616AF">
        <w:rPr>
          <w:rFonts w:ascii="Perpetua" w:hAnsi="Perpetua"/>
          <w:noProof/>
          <w:sz w:val="20"/>
          <w:szCs w:val="20"/>
        </w:rPr>
        <w:pict>
          <v:oval id="_x0000_s1052" style="position:absolute;margin-left:154.65pt;margin-top:393.55pt;width:52.65pt;height:49.45pt;z-index:251689984" fillcolor="#c00000" stroked="f" strokecolor="#c00000">
            <v:fill opacity="9830f"/>
          </v:oval>
        </w:pict>
      </w:r>
      <w:r w:rsidRPr="00E616AF">
        <w:rPr>
          <w:rFonts w:ascii="Perpetua" w:hAnsi="Perpetua"/>
          <w:noProof/>
          <w:sz w:val="20"/>
          <w:szCs w:val="20"/>
        </w:rPr>
        <w:pict>
          <v:oval id="_x0000_s1051" style="position:absolute;margin-left:228.85pt;margin-top:285.05pt;width:52.65pt;height:49.45pt;z-index:251688960" fillcolor="#c00000" stroked="f" strokecolor="#c00000">
            <v:fill opacity="9830f"/>
          </v:oval>
        </w:pict>
      </w:r>
      <w:r w:rsidRPr="00E616AF">
        <w:rPr>
          <w:rFonts w:ascii="Perpetua" w:hAnsi="Perpetua"/>
          <w:noProof/>
          <w:sz w:val="20"/>
          <w:szCs w:val="20"/>
        </w:rPr>
        <w:pict>
          <v:oval id="_x0000_s1050" style="position:absolute;margin-left:54.55pt;margin-top:191.35pt;width:52.65pt;height:49.45pt;z-index:251687936" fillcolor="#c00000" stroked="f" strokecolor="#c00000">
            <v:fill opacity="9830f"/>
          </v:oval>
        </w:pict>
      </w:r>
      <w:r>
        <w:rPr>
          <w:rFonts w:ascii="Gill Sans MT" w:hAnsi="Gill Sans MT"/>
          <w:noProof/>
        </w:rPr>
        <w:pict>
          <v:rect id="_x0000_s1039" style="position:absolute;margin-left:214.9pt;margin-top:93.75pt;width:49pt;height:14.25pt;z-index:251673600" stroked="f"/>
        </w:pict>
      </w:r>
    </w:p>
    <w:sectPr w:rsidR="00367830" w:rsidRPr="004C74BA" w:rsidSect="00367830">
      <w:pgSz w:w="12240" w:h="15840"/>
      <w:pgMar w:top="360" w:right="108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4C5" w:rsidRDefault="000D54C5">
      <w:r>
        <w:separator/>
      </w:r>
    </w:p>
  </w:endnote>
  <w:endnote w:type="continuationSeparator" w:id="0">
    <w:p w:rsidR="000D54C5" w:rsidRDefault="000D54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unstler Script">
    <w:panose1 w:val="030304020206070D0D06"/>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ypeVin">
    <w:panose1 w:val="00000400000000000000"/>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4C5" w:rsidRDefault="000D54C5">
      <w:r>
        <w:separator/>
      </w:r>
    </w:p>
  </w:footnote>
  <w:footnote w:type="continuationSeparator" w:id="0">
    <w:p w:rsidR="000D54C5" w:rsidRDefault="000D5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C5505"/>
    <w:multiLevelType w:val="hybridMultilevel"/>
    <w:tmpl w:val="BC022A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CF5429"/>
    <w:rsid w:val="00014B12"/>
    <w:rsid w:val="000D54C5"/>
    <w:rsid w:val="00141E44"/>
    <w:rsid w:val="001E3D97"/>
    <w:rsid w:val="00215598"/>
    <w:rsid w:val="002C1B91"/>
    <w:rsid w:val="00324A79"/>
    <w:rsid w:val="00341D13"/>
    <w:rsid w:val="003550A2"/>
    <w:rsid w:val="00367830"/>
    <w:rsid w:val="003B3393"/>
    <w:rsid w:val="003F7C89"/>
    <w:rsid w:val="0048119A"/>
    <w:rsid w:val="00494EBE"/>
    <w:rsid w:val="004C74BA"/>
    <w:rsid w:val="004F064F"/>
    <w:rsid w:val="00515529"/>
    <w:rsid w:val="005333FC"/>
    <w:rsid w:val="00547C27"/>
    <w:rsid w:val="00600037"/>
    <w:rsid w:val="00702350"/>
    <w:rsid w:val="00716CC8"/>
    <w:rsid w:val="00735DDF"/>
    <w:rsid w:val="007656DC"/>
    <w:rsid w:val="00783D05"/>
    <w:rsid w:val="007C226A"/>
    <w:rsid w:val="008F04C6"/>
    <w:rsid w:val="00917B13"/>
    <w:rsid w:val="009D7C5B"/>
    <w:rsid w:val="009E6BE2"/>
    <w:rsid w:val="00A02409"/>
    <w:rsid w:val="00A16874"/>
    <w:rsid w:val="00A85A00"/>
    <w:rsid w:val="00A86808"/>
    <w:rsid w:val="00AC0E68"/>
    <w:rsid w:val="00B26EF1"/>
    <w:rsid w:val="00B66C2C"/>
    <w:rsid w:val="00B7694B"/>
    <w:rsid w:val="00B9774A"/>
    <w:rsid w:val="00BF3A45"/>
    <w:rsid w:val="00BF7EA9"/>
    <w:rsid w:val="00C17FCC"/>
    <w:rsid w:val="00C60B0F"/>
    <w:rsid w:val="00C90F76"/>
    <w:rsid w:val="00CA602E"/>
    <w:rsid w:val="00CD5560"/>
    <w:rsid w:val="00CE353A"/>
    <w:rsid w:val="00CF5429"/>
    <w:rsid w:val="00D13C71"/>
    <w:rsid w:val="00D6352D"/>
    <w:rsid w:val="00D70674"/>
    <w:rsid w:val="00D7210A"/>
    <w:rsid w:val="00DC5448"/>
    <w:rsid w:val="00DD5437"/>
    <w:rsid w:val="00E616AF"/>
    <w:rsid w:val="00E77E58"/>
    <w:rsid w:val="00EA3786"/>
    <w:rsid w:val="00EC1186"/>
    <w:rsid w:val="00F461BD"/>
    <w:rsid w:val="00F96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8">
      <o:colormenu v:ext="edit" fillcolor="#c000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A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5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F96C22"/>
    <w:pPr>
      <w:tabs>
        <w:tab w:val="center" w:pos="4320"/>
        <w:tab w:val="right" w:pos="8640"/>
      </w:tabs>
    </w:pPr>
  </w:style>
  <w:style w:type="paragraph" w:styleId="Footer">
    <w:name w:val="footer"/>
    <w:basedOn w:val="Normal"/>
    <w:rsid w:val="00F96C22"/>
    <w:pPr>
      <w:tabs>
        <w:tab w:val="center" w:pos="4320"/>
        <w:tab w:val="right" w:pos="8640"/>
      </w:tabs>
    </w:pPr>
  </w:style>
  <w:style w:type="paragraph" w:styleId="BalloonText">
    <w:name w:val="Balloon Text"/>
    <w:basedOn w:val="Normal"/>
    <w:link w:val="BalloonTextChar"/>
    <w:uiPriority w:val="99"/>
    <w:semiHidden/>
    <w:unhideWhenUsed/>
    <w:rsid w:val="007C226A"/>
    <w:rPr>
      <w:rFonts w:ascii="Tahoma" w:hAnsi="Tahoma" w:cs="Tahoma"/>
      <w:sz w:val="16"/>
      <w:szCs w:val="16"/>
    </w:rPr>
  </w:style>
  <w:style w:type="character" w:customStyle="1" w:styleId="BalloonTextChar">
    <w:name w:val="Balloon Text Char"/>
    <w:basedOn w:val="DefaultParagraphFont"/>
    <w:link w:val="BalloonText"/>
    <w:uiPriority w:val="99"/>
    <w:semiHidden/>
    <w:rsid w:val="007C226A"/>
    <w:rPr>
      <w:rFonts w:ascii="Tahoma" w:hAnsi="Tahoma" w:cs="Tahoma"/>
      <w:sz w:val="16"/>
      <w:szCs w:val="16"/>
    </w:rPr>
  </w:style>
  <w:style w:type="paragraph" w:styleId="ListParagraph">
    <w:name w:val="List Paragraph"/>
    <w:basedOn w:val="Normal"/>
    <w:uiPriority w:val="34"/>
    <w:qFormat/>
    <w:rsid w:val="00D13C7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Marroney Theatre Cue light distribution</vt:lpstr>
    </vt:vector>
  </TitlesOfParts>
  <Company>The University of Arizona</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Laurie Kincman</cp:lastModifiedBy>
  <cp:revision>3</cp:revision>
  <cp:lastPrinted>2011-07-01T15:34:00Z</cp:lastPrinted>
  <dcterms:created xsi:type="dcterms:W3CDTF">2012-09-23T00:15:00Z</dcterms:created>
  <dcterms:modified xsi:type="dcterms:W3CDTF">2012-09-23T00:23:00Z</dcterms:modified>
</cp:coreProperties>
</file>