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48BB006F" w:rsidR="00B63FB2" w:rsidRPr="001358A1" w:rsidRDefault="000627D8" w:rsidP="001358A1">
      <w:pPr>
        <w:pStyle w:val="Heading1"/>
      </w:pPr>
      <w:r>
        <w:t xml:space="preserve">5.1 | Evaluate: </w:t>
      </w:r>
      <w:r w:rsidR="00A900E6">
        <w:t xml:space="preserve">Prioritize Content with a </w:t>
      </w:r>
      <w:r>
        <w:t>Risk Matrix</w:t>
      </w:r>
    </w:p>
    <w:p w14:paraId="082927AC" w14:textId="77777777" w:rsidR="00A900E6" w:rsidRPr="00A900E6" w:rsidRDefault="00A900E6" w:rsidP="00A900E6">
      <w:pPr>
        <w:autoSpaceDE w:val="0"/>
        <w:autoSpaceDN w:val="0"/>
        <w:adjustRightInd w:val="0"/>
        <w:spacing w:after="240" w:line="240" w:lineRule="auto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As noted in Chapter 5 of </w:t>
      </w:r>
      <w:r w:rsidRPr="00A900E6">
        <w:rPr>
          <w:rFonts w:eastAsia="Calibri" w:cs="Times New Roman"/>
          <w:i/>
          <w:iCs/>
          <w:color w:val="000000"/>
          <w:szCs w:val="22"/>
        </w:rPr>
        <w:t>Streamlined ID</w:t>
      </w:r>
      <w:r w:rsidRPr="00A900E6">
        <w:rPr>
          <w:rFonts w:eastAsia="Calibri" w:cs="Times New Roman"/>
          <w:color w:val="000000"/>
          <w:szCs w:val="22"/>
        </w:rPr>
        <w:t xml:space="preserve"> (2020), in some career environments, the prioritization of content to train employees to respond to and/or mitigate certain undesirable events is accomplished by using a risk matrix. </w:t>
      </w:r>
    </w:p>
    <w:p w14:paraId="2DE398E6" w14:textId="77777777" w:rsidR="00A900E6" w:rsidRPr="00A900E6" w:rsidRDefault="00A900E6" w:rsidP="00A900E6">
      <w:pPr>
        <w:pStyle w:val="Heading2"/>
      </w:pPr>
      <w:r w:rsidRPr="00A900E6">
        <w:t>The Process:</w:t>
      </w:r>
    </w:p>
    <w:p w14:paraId="0F6D77DD" w14:textId="77777777" w:rsidR="00A900E6" w:rsidRPr="00A900E6" w:rsidRDefault="00A900E6" w:rsidP="00A900E6">
      <w:pPr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b/>
          <w:bCs/>
          <w:i/>
          <w:iCs/>
          <w:color w:val="000000"/>
          <w:szCs w:val="22"/>
        </w:rPr>
        <w:t>Identify specific undesirable risks or events</w:t>
      </w:r>
      <w:r w:rsidRPr="00A900E6">
        <w:rPr>
          <w:rFonts w:eastAsia="Calibri" w:cs="Times New Roman"/>
          <w:color w:val="000000"/>
          <w:szCs w:val="22"/>
        </w:rPr>
        <w:t>. There are two ways to approach risk identification:</w:t>
      </w:r>
    </w:p>
    <w:p w14:paraId="759C179F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identify undesirable events or things that can go wrong, along with the potential impacts on operations of those events, or </w:t>
      </w:r>
    </w:p>
    <w:p w14:paraId="004333C3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24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>identify all essential functions of a process or operation that must be performed to successfully reach the goal and then identify all possible ways that these functions might fail.</w:t>
      </w:r>
    </w:p>
    <w:p w14:paraId="2D258334" w14:textId="77777777" w:rsidR="00A900E6" w:rsidRPr="00A900E6" w:rsidRDefault="00A900E6" w:rsidP="00A900E6">
      <w:pPr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b/>
          <w:bCs/>
          <w:i/>
          <w:iCs/>
          <w:color w:val="000000"/>
          <w:szCs w:val="22"/>
        </w:rPr>
        <w:t>Classify the risks or undesirable events</w:t>
      </w:r>
      <w:r w:rsidRPr="00A900E6">
        <w:rPr>
          <w:rFonts w:eastAsia="Calibri" w:cs="Times New Roman"/>
          <w:color w:val="000000"/>
          <w:szCs w:val="22"/>
        </w:rPr>
        <w:t xml:space="preserve"> by: </w:t>
      </w:r>
    </w:p>
    <w:p w14:paraId="132720AF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the severity of the consequences of the events, and </w:t>
      </w:r>
    </w:p>
    <w:p w14:paraId="5F1DA3AD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the probability of the event occurrence. </w:t>
      </w:r>
    </w:p>
    <w:p w14:paraId="0F1D1657" w14:textId="77777777" w:rsidR="00A900E6" w:rsidRPr="00A900E6" w:rsidRDefault="00A900E6" w:rsidP="00A900E6">
      <w:pPr>
        <w:autoSpaceDE w:val="0"/>
        <w:autoSpaceDN w:val="0"/>
        <w:adjustRightInd w:val="0"/>
        <w:spacing w:after="24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>Each event is assigned a high or low impact rating and a high or low likelihood of occurrence rating.</w:t>
      </w:r>
    </w:p>
    <w:p w14:paraId="69EED00F" w14:textId="77777777" w:rsidR="00A900E6" w:rsidRPr="00A900E6" w:rsidRDefault="00A900E6" w:rsidP="00A900E6">
      <w:pPr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b/>
          <w:bCs/>
          <w:i/>
          <w:iCs/>
          <w:color w:val="000000"/>
          <w:szCs w:val="22"/>
        </w:rPr>
        <w:t>Combine the criticality and probability ratings to produce a Risk Matrix</w:t>
      </w:r>
      <w:r w:rsidRPr="00A900E6">
        <w:rPr>
          <w:rFonts w:eastAsia="Calibri" w:cs="Times New Roman"/>
          <w:color w:val="000000"/>
          <w:szCs w:val="22"/>
        </w:rPr>
        <w:t>:</w:t>
      </w:r>
    </w:p>
    <w:p w14:paraId="09B0C218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Risks that are both low impact and low probability are essentially negligible (assign a rating of "0"). </w:t>
      </w:r>
    </w:p>
    <w:p w14:paraId="5D12C2BF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Risks that are both high impact and high probability are typically classified as "must train" topics (assign the highest rating). </w:t>
      </w:r>
    </w:p>
    <w:p w14:paraId="33C603C9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Low impact and high probability risks are often low priority for training; however, a combination of several risks in this category may be worthy of training. </w:t>
      </w:r>
    </w:p>
    <w:p w14:paraId="4E8C0D29" w14:textId="77777777" w:rsidR="00A900E6" w:rsidRPr="00A900E6" w:rsidRDefault="00A900E6" w:rsidP="00A900E6">
      <w:pPr>
        <w:numPr>
          <w:ilvl w:val="1"/>
          <w:numId w:val="10"/>
        </w:numPr>
        <w:autoSpaceDE w:val="0"/>
        <w:autoSpaceDN w:val="0"/>
        <w:adjustRightInd w:val="0"/>
        <w:spacing w:after="24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Finally, high impact and low probability events are typically rare occurrences for which there is little to no historical data available to justify a probability rating. However, the impact of such events often makes training a necessity to prepare individuals for monitoring, mitigating, and managing the risks involved. </w:t>
      </w:r>
    </w:p>
    <w:p w14:paraId="6DE1C13F" w14:textId="77777777" w:rsidR="00A900E6" w:rsidRPr="00A900E6" w:rsidRDefault="00A900E6" w:rsidP="00A900E6">
      <w:pPr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b/>
          <w:bCs/>
          <w:i/>
          <w:iCs/>
          <w:color w:val="000000"/>
          <w:szCs w:val="22"/>
        </w:rPr>
        <w:t>Use the Risk Matrix</w:t>
      </w:r>
      <w:r w:rsidRPr="00A900E6">
        <w:rPr>
          <w:rFonts w:eastAsia="Calibri" w:cs="Times New Roman"/>
          <w:color w:val="000000"/>
          <w:szCs w:val="22"/>
        </w:rPr>
        <w:t xml:space="preserve"> in one or more of the following ways: </w:t>
      </w:r>
    </w:p>
    <w:p w14:paraId="08BF888C" w14:textId="77777777" w:rsidR="00A900E6" w:rsidRPr="00A900E6" w:rsidRDefault="00A900E6" w:rsidP="00A900E6">
      <w:pPr>
        <w:numPr>
          <w:ilvl w:val="1"/>
          <w:numId w:val="11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To evaluate mitigation plans for the consequences of an undesirable event, </w:t>
      </w:r>
    </w:p>
    <w:p w14:paraId="36E623AC" w14:textId="77777777" w:rsidR="00A900E6" w:rsidRPr="00A900E6" w:rsidRDefault="00A900E6" w:rsidP="00A900E6">
      <w:pPr>
        <w:numPr>
          <w:ilvl w:val="1"/>
          <w:numId w:val="11"/>
        </w:numPr>
        <w:autoSpaceDE w:val="0"/>
        <w:autoSpaceDN w:val="0"/>
        <w:adjustRightInd w:val="0"/>
        <w:spacing w:after="6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To prioritize and justify the use of resources to develop response and mitigation training for such events, and/or </w:t>
      </w:r>
    </w:p>
    <w:p w14:paraId="35F35BE5" w14:textId="77777777" w:rsidR="00A900E6" w:rsidRPr="00A900E6" w:rsidRDefault="00A900E6" w:rsidP="00A900E6">
      <w:pPr>
        <w:numPr>
          <w:ilvl w:val="1"/>
          <w:numId w:val="11"/>
        </w:numPr>
        <w:autoSpaceDE w:val="0"/>
        <w:autoSpaceDN w:val="0"/>
        <w:adjustRightInd w:val="0"/>
        <w:spacing w:after="240" w:line="240" w:lineRule="auto"/>
        <w:ind w:left="72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To justify time off for employees to attend training on responding to or mitigating the consequences of undesirable events. </w:t>
      </w:r>
    </w:p>
    <w:p w14:paraId="541934EF" w14:textId="77777777" w:rsidR="00A900E6" w:rsidRPr="00A900E6" w:rsidRDefault="00A900E6" w:rsidP="00A900E6">
      <w:pPr>
        <w:autoSpaceDE w:val="0"/>
        <w:autoSpaceDN w:val="0"/>
        <w:adjustRightInd w:val="0"/>
        <w:spacing w:after="60" w:line="240" w:lineRule="auto"/>
        <w:rPr>
          <w:rFonts w:eastAsia="Calibri" w:cs="Arial"/>
          <w:b/>
          <w:bCs/>
          <w:color w:val="000000"/>
          <w:szCs w:val="22"/>
        </w:rPr>
      </w:pPr>
      <w:r w:rsidRPr="00A900E6">
        <w:rPr>
          <w:rFonts w:eastAsia="Calibri" w:cs="Arial"/>
          <w:b/>
          <w:bCs/>
          <w:color w:val="000000"/>
          <w:szCs w:val="22"/>
        </w:rPr>
        <w:t>Now You Can Give it a Try:</w:t>
      </w:r>
    </w:p>
    <w:p w14:paraId="66109F5F" w14:textId="77777777" w:rsidR="00A900E6" w:rsidRPr="00A900E6" w:rsidRDefault="00A900E6" w:rsidP="00A900E6">
      <w:pPr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>Using the following risk matrix as a guide…</w:t>
      </w:r>
    </w:p>
    <w:p w14:paraId="26BEE498" w14:textId="77777777" w:rsidR="00A900E6" w:rsidRPr="00A900E6" w:rsidRDefault="00A900E6" w:rsidP="00A900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Identify several risks or undesirable events that could occur in your organization. </w:t>
      </w:r>
    </w:p>
    <w:p w14:paraId="04544FF9" w14:textId="77777777" w:rsidR="00A900E6" w:rsidRPr="00A900E6" w:rsidRDefault="00A900E6" w:rsidP="00A900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Assign each risk or undesirable event a classification for the severity of its consequences and for the probability of its occurrence. </w:t>
      </w:r>
    </w:p>
    <w:p w14:paraId="318CB223" w14:textId="77777777" w:rsidR="00A900E6" w:rsidRPr="00A900E6" w:rsidRDefault="00A900E6" w:rsidP="00A900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lastRenderedPageBreak/>
        <w:t xml:space="preserve">Construct a risk matrix (similar to the one below) to determine whether the risks or events are: Unacceptable, Tolerable, or Acceptable. Then, use the matrix to prioritize the risks or undesirable events for training purposes. </w:t>
      </w:r>
    </w:p>
    <w:p w14:paraId="7D9AC8C5" w14:textId="77777777" w:rsidR="00A900E6" w:rsidRDefault="00A900E6" w:rsidP="00A900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  <w:color w:val="000000"/>
          <w:szCs w:val="22"/>
        </w:rPr>
      </w:pPr>
      <w:r w:rsidRPr="00A900E6">
        <w:rPr>
          <w:rFonts w:eastAsia="Calibri" w:cs="Times New Roman"/>
          <w:color w:val="000000"/>
          <w:szCs w:val="22"/>
        </w:rPr>
        <w:t xml:space="preserve">Note that you can construct your matrix using either word processing or spreadsheet software (e.g., Microsoft Word and Microsoft Excel).  </w:t>
      </w:r>
    </w:p>
    <w:p w14:paraId="468F6A48" w14:textId="77777777" w:rsidR="00943136" w:rsidRPr="00A900E6" w:rsidRDefault="00943136" w:rsidP="00943136">
      <w:p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  <w:color w:val="000000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08"/>
        <w:gridCol w:w="1627"/>
        <w:gridCol w:w="1627"/>
        <w:gridCol w:w="1627"/>
        <w:gridCol w:w="1529"/>
        <w:gridCol w:w="1529"/>
      </w:tblGrid>
      <w:tr w:rsidR="00A900E6" w:rsidRPr="00A900E6" w14:paraId="46FCD913" w14:textId="77777777" w:rsidTr="00A900E6">
        <w:tc>
          <w:tcPr>
            <w:tcW w:w="1708" w:type="dxa"/>
            <w:vMerge w:val="restart"/>
            <w:shd w:val="clear" w:color="auto" w:fill="F2F2F2"/>
            <w:vAlign w:val="center"/>
          </w:tcPr>
          <w:p w14:paraId="36152886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PROBABILITY</w:t>
            </w:r>
          </w:p>
        </w:tc>
        <w:tc>
          <w:tcPr>
            <w:tcW w:w="7642" w:type="dxa"/>
            <w:gridSpan w:val="5"/>
            <w:shd w:val="clear" w:color="auto" w:fill="808080"/>
            <w:vAlign w:val="center"/>
          </w:tcPr>
          <w:p w14:paraId="64C0795D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CONSEQUENCE CRITICALITY</w:t>
            </w:r>
          </w:p>
        </w:tc>
      </w:tr>
      <w:tr w:rsidR="00A900E6" w:rsidRPr="00A900E6" w14:paraId="1B0E0589" w14:textId="77777777" w:rsidTr="00A900E6">
        <w:tc>
          <w:tcPr>
            <w:tcW w:w="1708" w:type="dxa"/>
            <w:vMerge/>
            <w:shd w:val="clear" w:color="auto" w:fill="F2F2F2"/>
            <w:vAlign w:val="center"/>
          </w:tcPr>
          <w:p w14:paraId="6D208424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1528" w:type="dxa"/>
            <w:shd w:val="clear" w:color="auto" w:fill="808080"/>
            <w:vAlign w:val="center"/>
          </w:tcPr>
          <w:p w14:paraId="137A5BE8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Catastrophic</w:t>
            </w:r>
          </w:p>
          <w:p w14:paraId="58248C7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5</w:t>
            </w:r>
          </w:p>
        </w:tc>
        <w:tc>
          <w:tcPr>
            <w:tcW w:w="1528" w:type="dxa"/>
            <w:shd w:val="clear" w:color="auto" w:fill="808080"/>
            <w:vAlign w:val="center"/>
          </w:tcPr>
          <w:p w14:paraId="0D2D085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Critical</w:t>
            </w:r>
          </w:p>
          <w:p w14:paraId="13A504E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4</w:t>
            </w:r>
          </w:p>
        </w:tc>
        <w:tc>
          <w:tcPr>
            <w:tcW w:w="1528" w:type="dxa"/>
            <w:shd w:val="clear" w:color="auto" w:fill="808080"/>
            <w:vAlign w:val="center"/>
          </w:tcPr>
          <w:p w14:paraId="3CB93CCD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Major</w:t>
            </w:r>
          </w:p>
          <w:p w14:paraId="295E5120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3</w:t>
            </w:r>
          </w:p>
        </w:tc>
        <w:tc>
          <w:tcPr>
            <w:tcW w:w="1529" w:type="dxa"/>
            <w:shd w:val="clear" w:color="auto" w:fill="808080"/>
            <w:vAlign w:val="center"/>
          </w:tcPr>
          <w:p w14:paraId="225B0B7F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Minor</w:t>
            </w:r>
          </w:p>
          <w:p w14:paraId="19D4DCEF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2</w:t>
            </w:r>
          </w:p>
        </w:tc>
        <w:tc>
          <w:tcPr>
            <w:tcW w:w="1529" w:type="dxa"/>
            <w:shd w:val="clear" w:color="auto" w:fill="808080"/>
            <w:vAlign w:val="center"/>
          </w:tcPr>
          <w:p w14:paraId="162C6F7B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Negligible</w:t>
            </w:r>
          </w:p>
          <w:p w14:paraId="41BD6D11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FFFFFF"/>
                <w:szCs w:val="22"/>
              </w:rPr>
            </w:pPr>
            <w:r w:rsidRPr="00A900E6">
              <w:rPr>
                <w:rFonts w:cs="Arial"/>
                <w:b/>
                <w:bCs/>
                <w:color w:val="FFFFFF"/>
                <w:szCs w:val="22"/>
              </w:rPr>
              <w:t>1</w:t>
            </w:r>
          </w:p>
        </w:tc>
      </w:tr>
      <w:tr w:rsidR="00A900E6" w:rsidRPr="00A900E6" w14:paraId="2CF99E5A" w14:textId="77777777" w:rsidTr="00A900E6">
        <w:tc>
          <w:tcPr>
            <w:tcW w:w="1708" w:type="dxa"/>
            <w:shd w:val="clear" w:color="auto" w:fill="F2F2F2"/>
            <w:vAlign w:val="center"/>
          </w:tcPr>
          <w:p w14:paraId="03F722E1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Frequent</w:t>
            </w:r>
          </w:p>
          <w:p w14:paraId="3B01B781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4BE9985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5B854E11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2410B89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30857D1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0C1C190C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</w:tr>
      <w:tr w:rsidR="00A900E6" w:rsidRPr="00A900E6" w14:paraId="0B11EF57" w14:textId="77777777" w:rsidTr="00A900E6">
        <w:tc>
          <w:tcPr>
            <w:tcW w:w="1708" w:type="dxa"/>
            <w:shd w:val="clear" w:color="auto" w:fill="F2F2F2"/>
            <w:vAlign w:val="center"/>
          </w:tcPr>
          <w:p w14:paraId="7F3CB6FC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Occasional</w:t>
            </w:r>
          </w:p>
          <w:p w14:paraId="5744EF0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0A921D89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2283C346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33E7183E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4399C4C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7D1E3631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</w:tr>
      <w:tr w:rsidR="00A900E6" w:rsidRPr="00A900E6" w14:paraId="2024CAED" w14:textId="77777777" w:rsidTr="00A900E6">
        <w:tc>
          <w:tcPr>
            <w:tcW w:w="1708" w:type="dxa"/>
            <w:shd w:val="clear" w:color="auto" w:fill="F2F2F2"/>
            <w:vAlign w:val="center"/>
          </w:tcPr>
          <w:p w14:paraId="4A1781B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Remote</w:t>
            </w:r>
          </w:p>
          <w:p w14:paraId="02D7602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1528" w:type="dxa"/>
            <w:shd w:val="clear" w:color="auto" w:fill="C00000"/>
            <w:vAlign w:val="center"/>
          </w:tcPr>
          <w:p w14:paraId="1B8FC35B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Unacceptable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75464D14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2507F300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FFFF00"/>
            <w:vAlign w:val="center"/>
          </w:tcPr>
          <w:p w14:paraId="3D020EDB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00863D"/>
            <w:vAlign w:val="center"/>
          </w:tcPr>
          <w:p w14:paraId="1300C8D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</w:tr>
      <w:tr w:rsidR="00A900E6" w:rsidRPr="00A900E6" w14:paraId="5B7FB6BF" w14:textId="77777777" w:rsidTr="00A900E6">
        <w:tc>
          <w:tcPr>
            <w:tcW w:w="1708" w:type="dxa"/>
            <w:shd w:val="clear" w:color="auto" w:fill="F2F2F2"/>
            <w:vAlign w:val="center"/>
          </w:tcPr>
          <w:p w14:paraId="3E89A72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Improbable</w:t>
            </w:r>
          </w:p>
          <w:p w14:paraId="41DDB6AB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71B58680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5BF5C82C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7F0D1A9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9" w:type="dxa"/>
            <w:shd w:val="clear" w:color="auto" w:fill="00863D"/>
            <w:vAlign w:val="center"/>
          </w:tcPr>
          <w:p w14:paraId="34C14408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  <w:tc>
          <w:tcPr>
            <w:tcW w:w="1529" w:type="dxa"/>
            <w:shd w:val="clear" w:color="auto" w:fill="00863D"/>
            <w:vAlign w:val="center"/>
          </w:tcPr>
          <w:p w14:paraId="755BBD72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</w:tr>
      <w:tr w:rsidR="00A900E6" w:rsidRPr="00A900E6" w14:paraId="2F7358B4" w14:textId="77777777" w:rsidTr="00A900E6">
        <w:tc>
          <w:tcPr>
            <w:tcW w:w="1708" w:type="dxa"/>
            <w:shd w:val="clear" w:color="auto" w:fill="F2F2F2"/>
            <w:vAlign w:val="center"/>
          </w:tcPr>
          <w:p w14:paraId="4D92B2CD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Extremely Improbable</w:t>
            </w:r>
          </w:p>
          <w:p w14:paraId="0FE22E27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A900E6">
              <w:rPr>
                <w:rFonts w:cs="Arial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1528" w:type="dxa"/>
            <w:shd w:val="clear" w:color="auto" w:fill="FFFF00"/>
            <w:vAlign w:val="center"/>
          </w:tcPr>
          <w:p w14:paraId="7311532D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000000"/>
                <w:szCs w:val="22"/>
              </w:rPr>
            </w:pPr>
            <w:r w:rsidRPr="00A900E6">
              <w:rPr>
                <w:rFonts w:cs="Times New Roman"/>
                <w:b/>
                <w:bCs/>
                <w:color w:val="000000"/>
                <w:szCs w:val="22"/>
              </w:rPr>
              <w:t>Tolerable</w:t>
            </w:r>
          </w:p>
        </w:tc>
        <w:tc>
          <w:tcPr>
            <w:tcW w:w="1528" w:type="dxa"/>
            <w:shd w:val="clear" w:color="auto" w:fill="00863D"/>
            <w:vAlign w:val="center"/>
          </w:tcPr>
          <w:p w14:paraId="7AB0CA59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  <w:tc>
          <w:tcPr>
            <w:tcW w:w="1528" w:type="dxa"/>
            <w:shd w:val="clear" w:color="auto" w:fill="00863D"/>
            <w:vAlign w:val="center"/>
          </w:tcPr>
          <w:p w14:paraId="6B4FB2D6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  <w:tc>
          <w:tcPr>
            <w:tcW w:w="1529" w:type="dxa"/>
            <w:shd w:val="clear" w:color="auto" w:fill="00863D"/>
            <w:vAlign w:val="center"/>
          </w:tcPr>
          <w:p w14:paraId="6B8CBB58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  <w:tc>
          <w:tcPr>
            <w:tcW w:w="1529" w:type="dxa"/>
            <w:shd w:val="clear" w:color="auto" w:fill="00863D"/>
            <w:vAlign w:val="center"/>
          </w:tcPr>
          <w:p w14:paraId="10FC05B3" w14:textId="77777777" w:rsidR="00A900E6" w:rsidRPr="00A900E6" w:rsidRDefault="00A900E6" w:rsidP="00A900E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b/>
                <w:bCs/>
                <w:color w:val="FFFFFF"/>
                <w:szCs w:val="22"/>
              </w:rPr>
            </w:pPr>
            <w:r w:rsidRPr="00A900E6">
              <w:rPr>
                <w:rFonts w:cs="Times New Roman"/>
                <w:b/>
                <w:bCs/>
                <w:color w:val="FFFFFF"/>
                <w:szCs w:val="22"/>
              </w:rPr>
              <w:t>Acceptable</w:t>
            </w:r>
          </w:p>
        </w:tc>
      </w:tr>
    </w:tbl>
    <w:p w14:paraId="771EBF76" w14:textId="77777777" w:rsidR="00A900E6" w:rsidRPr="00A900E6" w:rsidRDefault="00A900E6" w:rsidP="00A900E6">
      <w:pPr>
        <w:autoSpaceDE w:val="0"/>
        <w:autoSpaceDN w:val="0"/>
        <w:adjustRightInd w:val="0"/>
        <w:spacing w:after="60" w:line="240" w:lineRule="auto"/>
        <w:rPr>
          <w:rFonts w:eastAsia="Calibri" w:cs="Times New Roman"/>
          <w:color w:val="000000"/>
          <w:szCs w:val="22"/>
        </w:rPr>
      </w:pPr>
    </w:p>
    <w:p w14:paraId="71A41C68" w14:textId="77777777" w:rsidR="00A900E6" w:rsidRPr="00A900E6" w:rsidRDefault="00A900E6" w:rsidP="00A900E6">
      <w:pPr>
        <w:spacing w:after="0" w:line="240" w:lineRule="auto"/>
        <w:rPr>
          <w:rFonts w:eastAsia="Calibri" w:cs="Times New Roman"/>
          <w:szCs w:val="22"/>
        </w:rPr>
      </w:pPr>
    </w:p>
    <w:p w14:paraId="3FE2BC70" w14:textId="77777777" w:rsidR="00A900E6" w:rsidRPr="00A900E6" w:rsidRDefault="00A900E6" w:rsidP="00A900E6">
      <w:pPr>
        <w:spacing w:after="40" w:line="240" w:lineRule="auto"/>
        <w:rPr>
          <w:rFonts w:eastAsia="Calibri" w:cs="Arial"/>
          <w:b/>
          <w:bCs/>
          <w:szCs w:val="22"/>
          <w:u w:val="single"/>
        </w:rPr>
      </w:pPr>
      <w:r w:rsidRPr="00A900E6">
        <w:rPr>
          <w:rFonts w:eastAsia="Calibri" w:cs="Arial"/>
          <w:b/>
          <w:bCs/>
          <w:szCs w:val="22"/>
          <w:u w:val="single"/>
        </w:rPr>
        <w:t>References</w:t>
      </w:r>
      <w:r w:rsidRPr="00A900E6">
        <w:rPr>
          <w:rFonts w:eastAsia="Calibri" w:cs="Arial"/>
          <w:b/>
          <w:bCs/>
          <w:szCs w:val="22"/>
        </w:rPr>
        <w:t>:</w:t>
      </w:r>
    </w:p>
    <w:p w14:paraId="7863FBDC" w14:textId="77777777" w:rsidR="00A900E6" w:rsidRPr="00A900E6" w:rsidRDefault="00A900E6" w:rsidP="00A900E6">
      <w:pPr>
        <w:spacing w:after="0" w:line="240" w:lineRule="auto"/>
        <w:ind w:left="720" w:hanging="720"/>
        <w:rPr>
          <w:rFonts w:eastAsia="Calibri" w:cs="Times New Roman"/>
          <w:szCs w:val="22"/>
        </w:rPr>
      </w:pPr>
      <w:r w:rsidRPr="00A900E6">
        <w:rPr>
          <w:rFonts w:eastAsia="Calibri" w:cs="Times New Roman"/>
          <w:szCs w:val="22"/>
        </w:rPr>
        <w:t xml:space="preserve">Jonassen, D. H., Tessmer, M., &amp; Hannum, W. H. (1999). </w:t>
      </w:r>
      <w:r w:rsidRPr="00A900E6">
        <w:rPr>
          <w:rFonts w:eastAsia="Calibri" w:cs="Times New Roman"/>
          <w:i/>
          <w:iCs/>
          <w:szCs w:val="22"/>
        </w:rPr>
        <w:t>Task analysis methods for instructional design</w:t>
      </w:r>
      <w:r w:rsidRPr="00A900E6">
        <w:rPr>
          <w:rFonts w:eastAsia="Calibri" w:cs="Times New Roman"/>
          <w:szCs w:val="22"/>
        </w:rPr>
        <w:t>. Mahwah, NJ: Lawrence Erlbaum Associates.</w:t>
      </w:r>
    </w:p>
    <w:p w14:paraId="49ADAB67" w14:textId="77777777" w:rsidR="001358A1" w:rsidRPr="0041598B" w:rsidRDefault="001358A1" w:rsidP="00A900E6">
      <w:pPr>
        <w:pStyle w:val="Heading2"/>
      </w:pPr>
    </w:p>
    <w:sectPr w:rsidR="001358A1" w:rsidRPr="0041598B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640E" w14:textId="77777777" w:rsidR="008B1CEE" w:rsidRDefault="008B1CEE" w:rsidP="00E25787">
      <w:r>
        <w:separator/>
      </w:r>
    </w:p>
  </w:endnote>
  <w:endnote w:type="continuationSeparator" w:id="0">
    <w:p w14:paraId="08D1A6E1" w14:textId="77777777" w:rsidR="008B1CEE" w:rsidRDefault="008B1CEE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8B1CEE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07C7" w14:textId="77777777" w:rsidR="008B1CEE" w:rsidRDefault="008B1CEE" w:rsidP="00E25787">
      <w:r>
        <w:separator/>
      </w:r>
    </w:p>
  </w:footnote>
  <w:footnote w:type="continuationSeparator" w:id="0">
    <w:p w14:paraId="18F68ACA" w14:textId="77777777" w:rsidR="008B1CEE" w:rsidRDefault="008B1CEE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5149D2"/>
    <w:multiLevelType w:val="hybridMultilevel"/>
    <w:tmpl w:val="35740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A63E5"/>
    <w:multiLevelType w:val="hybridMultilevel"/>
    <w:tmpl w:val="F4840A0E"/>
    <w:lvl w:ilvl="0" w:tplc="4BDEDB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85040"/>
    <w:multiLevelType w:val="hybridMultilevel"/>
    <w:tmpl w:val="EDAEF3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282925259">
    <w:abstractNumId w:val="9"/>
  </w:num>
  <w:num w:numId="11" w16cid:durableId="1223053651">
    <w:abstractNumId w:val="11"/>
  </w:num>
  <w:num w:numId="12" w16cid:durableId="564220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627D8"/>
    <w:rsid w:val="00081F92"/>
    <w:rsid w:val="00083792"/>
    <w:rsid w:val="00135120"/>
    <w:rsid w:val="001356FC"/>
    <w:rsid w:val="001358A1"/>
    <w:rsid w:val="0015074B"/>
    <w:rsid w:val="0015368C"/>
    <w:rsid w:val="00163349"/>
    <w:rsid w:val="00195024"/>
    <w:rsid w:val="001D6824"/>
    <w:rsid w:val="001D7412"/>
    <w:rsid w:val="001E77F3"/>
    <w:rsid w:val="0029639D"/>
    <w:rsid w:val="002D334F"/>
    <w:rsid w:val="002E1374"/>
    <w:rsid w:val="00326F90"/>
    <w:rsid w:val="00345E81"/>
    <w:rsid w:val="0038409A"/>
    <w:rsid w:val="003A27C2"/>
    <w:rsid w:val="0041598B"/>
    <w:rsid w:val="004940FC"/>
    <w:rsid w:val="004B5158"/>
    <w:rsid w:val="004E759B"/>
    <w:rsid w:val="00561615"/>
    <w:rsid w:val="00596579"/>
    <w:rsid w:val="005C2532"/>
    <w:rsid w:val="00685A38"/>
    <w:rsid w:val="00686810"/>
    <w:rsid w:val="006F30F3"/>
    <w:rsid w:val="007370C3"/>
    <w:rsid w:val="00743026"/>
    <w:rsid w:val="0078610E"/>
    <w:rsid w:val="007B51E9"/>
    <w:rsid w:val="0084008E"/>
    <w:rsid w:val="008600AE"/>
    <w:rsid w:val="008A5D40"/>
    <w:rsid w:val="008B1CEE"/>
    <w:rsid w:val="00937BB6"/>
    <w:rsid w:val="00943136"/>
    <w:rsid w:val="009D5B79"/>
    <w:rsid w:val="009F570F"/>
    <w:rsid w:val="00A2065A"/>
    <w:rsid w:val="00A537C4"/>
    <w:rsid w:val="00A900E6"/>
    <w:rsid w:val="00AA1D8D"/>
    <w:rsid w:val="00B47730"/>
    <w:rsid w:val="00B63FB2"/>
    <w:rsid w:val="00C3092A"/>
    <w:rsid w:val="00CB0664"/>
    <w:rsid w:val="00DD222C"/>
    <w:rsid w:val="00DF15EA"/>
    <w:rsid w:val="00E25787"/>
    <w:rsid w:val="00E3791B"/>
    <w:rsid w:val="00EA05A8"/>
    <w:rsid w:val="00EB2D13"/>
    <w:rsid w:val="00F04481"/>
    <w:rsid w:val="00F122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A900E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6977C-D9E5-451D-80AC-4E8F5E453599}"/>
</file>

<file path=customXml/itemProps3.xml><?xml version="1.0" encoding="utf-8"?>
<ds:datastoreItem xmlns:ds="http://schemas.openxmlformats.org/officeDocument/2006/customXml" ds:itemID="{C79DCA7A-D7F6-4562-AD50-676FBE485E34}"/>
</file>

<file path=customXml/itemProps4.xml><?xml version="1.0" encoding="utf-8"?>
<ds:datastoreItem xmlns:ds="http://schemas.openxmlformats.org/officeDocument/2006/customXml" ds:itemID="{FA492090-B597-4F2F-9E05-9FFF867B65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621</Words>
  <Characters>2749</Characters>
  <Application>Microsoft Office Word</Application>
  <DocSecurity>0</DocSecurity>
  <Lines>183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12</cp:revision>
  <dcterms:created xsi:type="dcterms:W3CDTF">2026-05-18T23:43:00Z</dcterms:created>
  <dcterms:modified xsi:type="dcterms:W3CDTF">2026-06-01T03:24:00Z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