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9B0F1F" w14:textId="15B9DEC4" w:rsidR="00B63FB2" w:rsidRPr="0049600B" w:rsidRDefault="00910DBA" w:rsidP="0049600B">
      <w:pPr>
        <w:pStyle w:val="Heading1"/>
      </w:pPr>
      <w:r w:rsidRPr="0049600B">
        <w:t>Glossary</w:t>
      </w:r>
    </w:p>
    <w:p w14:paraId="655A7F65"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bookmarkStart w:id="0" w:name="ID12561"/>
      <w:bookmarkStart w:id="1" w:name="ID12562"/>
      <w:bookmarkStart w:id="2" w:name="ID12563"/>
      <w:bookmarkEnd w:id="0"/>
      <w:bookmarkEnd w:id="1"/>
      <w:bookmarkEnd w:id="2"/>
      <w:r w:rsidRPr="00910DBA">
        <w:rPr>
          <w:rFonts w:eastAsia="Times New Roman" w:cs="Times New Roman"/>
          <w:b/>
          <w:bCs/>
          <w:szCs w:val="22"/>
        </w:rPr>
        <w:t xml:space="preserve">Accommodate </w:t>
      </w:r>
      <w:r w:rsidRPr="00910DBA">
        <w:rPr>
          <w:rFonts w:eastAsia="Times New Roman" w:cs="Times New Roman"/>
          <w:szCs w:val="22"/>
        </w:rPr>
        <w:tab/>
      </w:r>
      <w:bookmarkStart w:id="3" w:name="ID12564"/>
      <w:bookmarkEnd w:id="3"/>
      <w:r w:rsidRPr="00910DBA">
        <w:rPr>
          <w:rFonts w:eastAsia="Times New Roman" w:cs="Times New Roman"/>
          <w:szCs w:val="22"/>
        </w:rPr>
        <w:t>Changing existing knowledge (schema and scripts) to incorporate new information. Any modification of an assimilatory scheme or structure by the elements it assimilates (Piaget, 1970).</w:t>
      </w:r>
    </w:p>
    <w:p w14:paraId="5BD6278C"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p>
    <w:p w14:paraId="41B8083E"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bookmarkStart w:id="4" w:name="ID12565"/>
      <w:bookmarkStart w:id="5" w:name="ID12566"/>
      <w:bookmarkEnd w:id="4"/>
      <w:bookmarkEnd w:id="5"/>
      <w:r w:rsidRPr="00910DBA">
        <w:rPr>
          <w:rFonts w:eastAsia="Times New Roman" w:cs="Times New Roman"/>
          <w:b/>
          <w:bCs/>
          <w:szCs w:val="22"/>
        </w:rPr>
        <w:t>Accommodations</w:t>
      </w:r>
      <w:r w:rsidRPr="00910DBA">
        <w:rPr>
          <w:rFonts w:eastAsia="Times New Roman" w:cs="Times New Roman"/>
          <w:szCs w:val="22"/>
        </w:rPr>
        <w:t xml:space="preserve"> </w:t>
      </w:r>
      <w:r w:rsidRPr="00910DBA">
        <w:rPr>
          <w:rFonts w:eastAsia="Times New Roman" w:cs="Times New Roman"/>
          <w:szCs w:val="22"/>
        </w:rPr>
        <w:tab/>
      </w:r>
      <w:bookmarkStart w:id="6" w:name="ID12567"/>
      <w:bookmarkEnd w:id="6"/>
      <w:r w:rsidRPr="00910DBA">
        <w:rPr>
          <w:rFonts w:eastAsia="Times New Roman" w:cs="Times New Roman"/>
          <w:szCs w:val="22"/>
        </w:rPr>
        <w:t>This term refers to a form of scaffolding that supports students through a change in the delivery of instruction or the method of student performance without changing the content or conceptual difficulty of the curriculum. It often features the use of assistive technologies, but it can also consist merely of a low-tech strategy.</w:t>
      </w:r>
    </w:p>
    <w:p w14:paraId="4C20F8F5"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p>
    <w:p w14:paraId="27FB9EF4"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bookmarkStart w:id="7" w:name="ID12568"/>
      <w:bookmarkStart w:id="8" w:name="ID12569"/>
      <w:bookmarkEnd w:id="7"/>
      <w:bookmarkEnd w:id="8"/>
      <w:r w:rsidRPr="00910DBA">
        <w:rPr>
          <w:rFonts w:eastAsia="Times New Roman" w:cs="Times New Roman"/>
          <w:b/>
          <w:bCs/>
          <w:szCs w:val="22"/>
        </w:rPr>
        <w:t xml:space="preserve">Adaptations </w:t>
      </w:r>
      <w:r w:rsidRPr="00910DBA">
        <w:rPr>
          <w:rFonts w:eastAsia="Times New Roman" w:cs="Times New Roman"/>
          <w:szCs w:val="22"/>
        </w:rPr>
        <w:tab/>
      </w:r>
      <w:bookmarkStart w:id="9" w:name="ID12570"/>
      <w:bookmarkEnd w:id="9"/>
      <w:r w:rsidRPr="00910DBA">
        <w:rPr>
          <w:rFonts w:eastAsia="Times New Roman" w:cs="Times New Roman"/>
          <w:szCs w:val="22"/>
        </w:rPr>
        <w:t>A change in the delivery of instruction and/or the conceptual difficulty and content to assist an individual to learn in the least restrictive environment.</w:t>
      </w:r>
    </w:p>
    <w:p w14:paraId="7B0DC935"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p>
    <w:p w14:paraId="5AECFCE6"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bookmarkStart w:id="10" w:name="ID12571"/>
      <w:bookmarkStart w:id="11" w:name="ID12572"/>
      <w:bookmarkEnd w:id="10"/>
      <w:bookmarkEnd w:id="11"/>
      <w:r w:rsidRPr="00910DBA">
        <w:rPr>
          <w:rFonts w:eastAsia="Times New Roman" w:cs="Times New Roman"/>
          <w:b/>
          <w:bCs/>
          <w:szCs w:val="22"/>
        </w:rPr>
        <w:t>Agentic AI</w:t>
      </w:r>
      <w:r w:rsidRPr="00910DBA">
        <w:rPr>
          <w:rFonts w:eastAsia="Times New Roman" w:cs="Times New Roman"/>
          <w:b/>
          <w:bCs/>
          <w:szCs w:val="22"/>
        </w:rPr>
        <w:tab/>
      </w:r>
      <w:r w:rsidRPr="00910DBA">
        <w:rPr>
          <w:rFonts w:eastAsia="Times New Roman" w:cs="Times New Roman"/>
          <w:szCs w:val="22"/>
        </w:rPr>
        <w:t>Autonomous, goal-oriented artificial intelligence systems that can independently plan, reason, and execute complex, multi-step tasks with minimal human oversight, moving beyond simple prompt-response interactions to proactively achieve objectives by using tools, adapting to new information, and learning from experience. Unlike traditional AI, agentic AI exhibits "agency"—the capacity to act on its own to solve problems, whether that's booking services, writing code, or orchestrating complex workflows.</w:t>
      </w:r>
    </w:p>
    <w:p w14:paraId="50AEED21"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b/>
          <w:bCs/>
          <w:szCs w:val="22"/>
        </w:rPr>
      </w:pPr>
    </w:p>
    <w:p w14:paraId="61CBE234"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r w:rsidRPr="00910DBA">
        <w:rPr>
          <w:rFonts w:eastAsia="Times New Roman" w:cs="Times New Roman"/>
          <w:b/>
          <w:bCs/>
          <w:szCs w:val="22"/>
        </w:rPr>
        <w:t xml:space="preserve">Alternative assessment </w:t>
      </w:r>
      <w:r w:rsidRPr="00910DBA">
        <w:rPr>
          <w:rFonts w:eastAsia="Times New Roman" w:cs="Times New Roman"/>
          <w:szCs w:val="22"/>
        </w:rPr>
        <w:t xml:space="preserve"> </w:t>
      </w:r>
      <w:bookmarkStart w:id="12" w:name="ID12573"/>
      <w:bookmarkEnd w:id="12"/>
      <w:r w:rsidRPr="00910DBA">
        <w:rPr>
          <w:rFonts w:eastAsia="Times New Roman" w:cs="Times New Roman"/>
          <w:szCs w:val="22"/>
        </w:rPr>
        <w:t>Evaluation instruments and procedures other than objective-style tests; includes the evaluation of live performances, products, and attitudes; format includes directions for the learner and a scoring rubric (Dick, Carey, &amp; Carey, 2014).</w:t>
      </w:r>
    </w:p>
    <w:p w14:paraId="65B1CF36"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p>
    <w:p w14:paraId="71674127"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bookmarkStart w:id="13" w:name="ID12574"/>
      <w:bookmarkStart w:id="14" w:name="ID12575"/>
      <w:bookmarkEnd w:id="13"/>
      <w:bookmarkEnd w:id="14"/>
      <w:r w:rsidRPr="00910DBA">
        <w:rPr>
          <w:rFonts w:eastAsia="Times New Roman" w:cs="Times New Roman"/>
          <w:b/>
          <w:bCs/>
          <w:szCs w:val="22"/>
        </w:rPr>
        <w:t>Analyzing skills</w:t>
      </w:r>
      <w:r w:rsidRPr="00910DBA">
        <w:rPr>
          <w:rFonts w:eastAsia="Times New Roman" w:cs="Times New Roman"/>
          <w:szCs w:val="22"/>
        </w:rPr>
        <w:t xml:space="preserve"> </w:t>
      </w:r>
      <w:r w:rsidRPr="00910DBA">
        <w:rPr>
          <w:rFonts w:eastAsia="Times New Roman" w:cs="Times New Roman"/>
          <w:szCs w:val="22"/>
        </w:rPr>
        <w:tab/>
        <w:t xml:space="preserve"> </w:t>
      </w:r>
      <w:bookmarkStart w:id="15" w:name="ID12576"/>
      <w:bookmarkEnd w:id="15"/>
      <w:r w:rsidRPr="00910DBA">
        <w:rPr>
          <w:rFonts w:eastAsia="Times New Roman" w:cs="Times New Roman"/>
          <w:szCs w:val="22"/>
        </w:rPr>
        <w:t>A core thinking skill that involves clarifying information by examining the parts and relationships between the parts and the whole.</w:t>
      </w:r>
    </w:p>
    <w:p w14:paraId="213B5CA5"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p>
    <w:p w14:paraId="7D5DF9EF"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bookmarkStart w:id="16" w:name="ID12577"/>
      <w:bookmarkStart w:id="17" w:name="ID12578"/>
      <w:bookmarkEnd w:id="16"/>
      <w:bookmarkEnd w:id="17"/>
      <w:r w:rsidRPr="00910DBA">
        <w:rPr>
          <w:rFonts w:eastAsia="Times New Roman" w:cs="Times New Roman"/>
          <w:b/>
          <w:bCs/>
          <w:szCs w:val="22"/>
        </w:rPr>
        <w:t>Anchored instruction</w:t>
      </w:r>
      <w:r w:rsidRPr="00910DBA">
        <w:rPr>
          <w:rFonts w:eastAsia="Times New Roman" w:cs="Times New Roman"/>
          <w:szCs w:val="22"/>
        </w:rPr>
        <w:t xml:space="preserve"> </w:t>
      </w:r>
      <w:r w:rsidRPr="00910DBA">
        <w:rPr>
          <w:rFonts w:eastAsia="Times New Roman" w:cs="Times New Roman"/>
          <w:szCs w:val="22"/>
        </w:rPr>
        <w:tab/>
      </w:r>
      <w:bookmarkStart w:id="18" w:name="ID12579"/>
      <w:bookmarkEnd w:id="18"/>
      <w:r w:rsidRPr="00910DBA">
        <w:rPr>
          <w:rFonts w:eastAsia="Times New Roman" w:cs="Times New Roman"/>
          <w:szCs w:val="22"/>
        </w:rPr>
        <w:t>A problem-based approach that provides all the information within a scenario that a learner needs to solve the problem. Used frequently in K-12 environments, this strategy is based on situated cognition and is designed to provide a meaningful context and realistic, interesting problems for learners (Smith &amp; Ragan, 2005).</w:t>
      </w:r>
    </w:p>
    <w:p w14:paraId="194A376B"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p>
    <w:p w14:paraId="4F3CC56F"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bookmarkStart w:id="19" w:name="ID12580"/>
      <w:bookmarkStart w:id="20" w:name="ID12581"/>
      <w:bookmarkEnd w:id="19"/>
      <w:bookmarkEnd w:id="20"/>
      <w:r w:rsidRPr="00910DBA">
        <w:rPr>
          <w:rFonts w:eastAsia="Times New Roman" w:cs="Times New Roman"/>
          <w:b/>
          <w:bCs/>
          <w:szCs w:val="22"/>
        </w:rPr>
        <w:t xml:space="preserve">Andragogy </w:t>
      </w:r>
      <w:r w:rsidRPr="00910DBA">
        <w:rPr>
          <w:rFonts w:eastAsia="Times New Roman" w:cs="Times New Roman"/>
          <w:szCs w:val="22"/>
        </w:rPr>
        <w:tab/>
      </w:r>
      <w:bookmarkStart w:id="21" w:name="ID12582"/>
      <w:bookmarkEnd w:id="21"/>
      <w:r w:rsidRPr="00910DBA">
        <w:rPr>
          <w:rFonts w:eastAsia="Times New Roman" w:cs="Times New Roman"/>
          <w:szCs w:val="22"/>
        </w:rPr>
        <w:t>The learning strategies, instructional frameworks and theory related to teaching the adult learner (as opposed to “pedagogy,” the teaching of children), which was developed and popularized by Malcolm Knowles (Simonson, Smaldino, Albright, &amp; Zvacek, 2009).</w:t>
      </w:r>
    </w:p>
    <w:p w14:paraId="696F0AB0"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p>
    <w:p w14:paraId="63F9FA32"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bookmarkStart w:id="22" w:name="ID12583"/>
      <w:bookmarkStart w:id="23" w:name="ID12584"/>
      <w:bookmarkEnd w:id="22"/>
      <w:bookmarkEnd w:id="23"/>
      <w:r w:rsidRPr="00910DBA">
        <w:rPr>
          <w:rFonts w:eastAsia="Times New Roman" w:cs="Times New Roman"/>
          <w:b/>
          <w:bCs/>
          <w:szCs w:val="22"/>
        </w:rPr>
        <w:t>Application skills</w:t>
      </w:r>
      <w:r w:rsidRPr="00910DBA">
        <w:rPr>
          <w:rFonts w:eastAsia="Times New Roman" w:cs="Times New Roman"/>
          <w:szCs w:val="22"/>
        </w:rPr>
        <w:t xml:space="preserve"> </w:t>
      </w:r>
      <w:r w:rsidRPr="00910DBA">
        <w:rPr>
          <w:rFonts w:eastAsia="Times New Roman" w:cs="Times New Roman"/>
          <w:szCs w:val="22"/>
        </w:rPr>
        <w:tab/>
      </w:r>
      <w:bookmarkStart w:id="24" w:name="ID12585"/>
      <w:bookmarkEnd w:id="24"/>
      <w:r w:rsidRPr="00910DBA">
        <w:rPr>
          <w:rFonts w:eastAsia="Times New Roman" w:cs="Times New Roman"/>
          <w:szCs w:val="22"/>
        </w:rPr>
        <w:t>A core thinking skill that uses learned concepts to solve a new problem in appropriate ways.</w:t>
      </w:r>
    </w:p>
    <w:p w14:paraId="08003E76"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p>
    <w:p w14:paraId="0C68F6BC"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bookmarkStart w:id="25" w:name="ID12586"/>
      <w:bookmarkStart w:id="26" w:name="ID12587"/>
      <w:bookmarkEnd w:id="25"/>
      <w:bookmarkEnd w:id="26"/>
      <w:r w:rsidRPr="00910DBA">
        <w:rPr>
          <w:rFonts w:eastAsia="Times New Roman" w:cs="Times New Roman"/>
          <w:b/>
          <w:bCs/>
          <w:szCs w:val="22"/>
        </w:rPr>
        <w:t xml:space="preserve">Aptitude-treatment interaction (ATI)  </w:t>
      </w:r>
      <w:bookmarkStart w:id="27" w:name="ID12588"/>
      <w:bookmarkEnd w:id="27"/>
      <w:r w:rsidRPr="00910DBA">
        <w:rPr>
          <w:rFonts w:eastAsia="Times New Roman" w:cs="Times New Roman"/>
          <w:szCs w:val="22"/>
        </w:rPr>
        <w:t xml:space="preserve">Aptitude–treatment interaction (ATI) is a research framework that examines how learning or treatment outcomes depend on the fit between </w:t>
      </w:r>
      <w:r w:rsidRPr="00910DBA">
        <w:rPr>
          <w:rFonts w:eastAsia="Times New Roman" w:cs="Times New Roman"/>
          <w:szCs w:val="22"/>
        </w:rPr>
        <w:lastRenderedPageBreak/>
        <w:t xml:space="preserve">individuals’ characteristics (aptitudes) and the instructional or therapeutic methods (treatments) they receive. It posits that the effectiveness of a method varies across individuals, such that certain learners benefit more from one approach while others benefit from another (Cronbach &amp; Snow, 1981; Snow, 1991). </w:t>
      </w:r>
    </w:p>
    <w:p w14:paraId="31CE30D0"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p>
    <w:p w14:paraId="4E335CF9"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bookmarkStart w:id="28" w:name="ID12589"/>
      <w:bookmarkStart w:id="29" w:name="ID12590"/>
      <w:bookmarkEnd w:id="28"/>
      <w:bookmarkEnd w:id="29"/>
      <w:r w:rsidRPr="00910DBA">
        <w:rPr>
          <w:rFonts w:eastAsia="Times New Roman" w:cs="Times New Roman"/>
          <w:b/>
          <w:bCs/>
          <w:szCs w:val="22"/>
        </w:rPr>
        <w:t>ARCS-V</w:t>
      </w:r>
      <w:r w:rsidRPr="00910DBA">
        <w:rPr>
          <w:rFonts w:eastAsia="Times New Roman" w:cs="Times New Roman"/>
          <w:szCs w:val="22"/>
        </w:rPr>
        <w:t xml:space="preserve"> </w:t>
      </w:r>
      <w:r w:rsidRPr="00910DBA">
        <w:rPr>
          <w:rFonts w:eastAsia="Times New Roman" w:cs="Times New Roman"/>
          <w:szCs w:val="22"/>
        </w:rPr>
        <w:tab/>
      </w:r>
      <w:bookmarkStart w:id="30" w:name="ID12591"/>
      <w:bookmarkEnd w:id="30"/>
      <w:r w:rsidRPr="00910DBA">
        <w:rPr>
          <w:rFonts w:eastAsia="Times New Roman" w:cs="Times New Roman"/>
          <w:szCs w:val="22"/>
        </w:rPr>
        <w:t>The acronym for Keller’s model of motivation theory, which stands for Attention, Relevance, Confidence, Satisfaction, and Volition (Keller, 2016).</w:t>
      </w:r>
    </w:p>
    <w:p w14:paraId="2382AC41"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p>
    <w:p w14:paraId="6716ED63"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bookmarkStart w:id="31" w:name="ID12592"/>
      <w:bookmarkStart w:id="32" w:name="ID12593"/>
      <w:bookmarkEnd w:id="31"/>
      <w:bookmarkEnd w:id="32"/>
      <w:r w:rsidRPr="00910DBA">
        <w:rPr>
          <w:rFonts w:eastAsia="Times New Roman" w:cs="Times New Roman"/>
          <w:szCs w:val="22"/>
        </w:rPr>
        <w:t xml:space="preserve"> </w:t>
      </w:r>
      <w:r w:rsidRPr="00910DBA">
        <w:rPr>
          <w:rFonts w:eastAsia="Times New Roman" w:cs="Times New Roman"/>
          <w:b/>
          <w:bCs/>
          <w:szCs w:val="22"/>
        </w:rPr>
        <w:t xml:space="preserve">Assimilate </w:t>
      </w:r>
      <w:r w:rsidRPr="00910DBA">
        <w:rPr>
          <w:rFonts w:eastAsia="Times New Roman" w:cs="Times New Roman"/>
          <w:szCs w:val="22"/>
        </w:rPr>
        <w:tab/>
      </w:r>
      <w:bookmarkStart w:id="33" w:name="ID12594"/>
      <w:bookmarkEnd w:id="33"/>
      <w:r w:rsidRPr="00910DBA">
        <w:rPr>
          <w:rFonts w:eastAsia="Times New Roman" w:cs="Times New Roman"/>
          <w:szCs w:val="22"/>
        </w:rPr>
        <w:t>A cognitive process to integrate external elements into evolving or completed structures (Piaget, 1970). It occurs when a learner perceives new objects or events in terms of existing schemes or operations (Driscoll, 2004; Driscoll &amp; Burner, 2022).</w:t>
      </w:r>
    </w:p>
    <w:p w14:paraId="759DDC82"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p>
    <w:p w14:paraId="4421567F"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bookmarkStart w:id="34" w:name="ID12595"/>
      <w:bookmarkStart w:id="35" w:name="ID12596"/>
      <w:bookmarkEnd w:id="34"/>
      <w:bookmarkEnd w:id="35"/>
      <w:r w:rsidRPr="00910DBA">
        <w:rPr>
          <w:rFonts w:eastAsia="Times New Roman" w:cs="Times New Roman"/>
          <w:b/>
          <w:bCs/>
          <w:szCs w:val="22"/>
        </w:rPr>
        <w:t>Asynchronous instruction and learning</w:t>
      </w:r>
      <w:r w:rsidRPr="00910DBA">
        <w:rPr>
          <w:rFonts w:eastAsia="Times New Roman" w:cs="Times New Roman"/>
          <w:szCs w:val="22"/>
        </w:rPr>
        <w:t xml:space="preserve">  A delivery mode for instruction and learning experiences for which participants do not participate at the same time and there is a delay between the sending and receiving of instructional messages, communications, and feedback. Asynchronous learning is typically electronically </w:t>
      </w:r>
      <w:proofErr w:type="gramStart"/>
      <w:r w:rsidRPr="00910DBA">
        <w:rPr>
          <w:rFonts w:eastAsia="Times New Roman" w:cs="Times New Roman"/>
          <w:szCs w:val="22"/>
        </w:rPr>
        <w:t>mediated</w:t>
      </w:r>
      <w:proofErr w:type="gramEnd"/>
      <w:r w:rsidRPr="00910DBA">
        <w:rPr>
          <w:rFonts w:eastAsia="Times New Roman" w:cs="Times New Roman"/>
          <w:szCs w:val="22"/>
        </w:rPr>
        <w:t xml:space="preserve"> and interaction typically occurs through time-independent activities, enabling learners to access content, communicate, and complete tasks on their own schedules (Lewis &amp; Whitlock, 2003).</w:t>
      </w:r>
    </w:p>
    <w:p w14:paraId="4E0015EF"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p>
    <w:p w14:paraId="74565CD2"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bookmarkStart w:id="36" w:name="ID12598"/>
      <w:bookmarkStart w:id="37" w:name="ID12599"/>
      <w:bookmarkEnd w:id="36"/>
      <w:bookmarkEnd w:id="37"/>
      <w:r w:rsidRPr="00910DBA">
        <w:rPr>
          <w:rFonts w:eastAsia="Times New Roman" w:cs="Times New Roman"/>
          <w:b/>
          <w:bCs/>
          <w:szCs w:val="22"/>
        </w:rPr>
        <w:t xml:space="preserve">Attention </w:t>
      </w:r>
      <w:r w:rsidRPr="00910DBA">
        <w:rPr>
          <w:rFonts w:eastAsia="Times New Roman" w:cs="Times New Roman"/>
          <w:szCs w:val="22"/>
        </w:rPr>
        <w:tab/>
      </w:r>
      <w:bookmarkStart w:id="38" w:name="ID12600"/>
      <w:bookmarkEnd w:id="38"/>
      <w:r w:rsidRPr="00910DBA">
        <w:rPr>
          <w:rFonts w:eastAsia="Times New Roman" w:cs="Times New Roman"/>
          <w:szCs w:val="22"/>
        </w:rPr>
        <w:t>Conscious control of mental focus on particular information.</w:t>
      </w:r>
    </w:p>
    <w:p w14:paraId="3033CCD1"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p>
    <w:p w14:paraId="4E453063"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bookmarkStart w:id="39" w:name="ID12601"/>
      <w:bookmarkStart w:id="40" w:name="ID12602"/>
      <w:bookmarkEnd w:id="39"/>
      <w:bookmarkEnd w:id="40"/>
      <w:r w:rsidRPr="00910DBA">
        <w:rPr>
          <w:rFonts w:eastAsia="Times New Roman" w:cs="Times New Roman"/>
          <w:b/>
          <w:bCs/>
          <w:szCs w:val="22"/>
        </w:rPr>
        <w:t xml:space="preserve">Attitudes </w:t>
      </w:r>
      <w:r w:rsidRPr="00910DBA">
        <w:rPr>
          <w:rFonts w:eastAsia="Times New Roman" w:cs="Times New Roman"/>
          <w:szCs w:val="22"/>
        </w:rPr>
        <w:tab/>
      </w:r>
      <w:bookmarkStart w:id="41" w:name="ID12603"/>
      <w:bookmarkEnd w:id="41"/>
      <w:r w:rsidRPr="00910DBA">
        <w:rPr>
          <w:rFonts w:eastAsia="Times New Roman" w:cs="Times New Roman"/>
          <w:szCs w:val="22"/>
        </w:rPr>
        <w:t>Personal principles, beliefs and values that influence an individual’s behavior.</w:t>
      </w:r>
    </w:p>
    <w:p w14:paraId="4F5E2439"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p>
    <w:p w14:paraId="69A08BE0"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bookmarkStart w:id="42" w:name="ID12604"/>
      <w:bookmarkStart w:id="43" w:name="ID12605"/>
      <w:bookmarkEnd w:id="42"/>
      <w:bookmarkEnd w:id="43"/>
      <w:r w:rsidRPr="00910DBA">
        <w:rPr>
          <w:rFonts w:eastAsia="Times New Roman" w:cs="Times New Roman"/>
          <w:b/>
          <w:bCs/>
          <w:szCs w:val="22"/>
        </w:rPr>
        <w:t>Audience analysis</w:t>
      </w:r>
      <w:r w:rsidRPr="00910DBA">
        <w:rPr>
          <w:rFonts w:eastAsia="Times New Roman" w:cs="Times New Roman"/>
          <w:szCs w:val="22"/>
        </w:rPr>
        <w:t xml:space="preserve"> </w:t>
      </w:r>
      <w:r w:rsidRPr="00910DBA">
        <w:rPr>
          <w:rFonts w:eastAsia="Times New Roman" w:cs="Times New Roman"/>
          <w:szCs w:val="22"/>
        </w:rPr>
        <w:tab/>
      </w:r>
      <w:bookmarkStart w:id="44" w:name="ID12606"/>
      <w:bookmarkEnd w:id="44"/>
      <w:r w:rsidRPr="00910DBA">
        <w:rPr>
          <w:rFonts w:eastAsia="Times New Roman" w:cs="Times New Roman"/>
          <w:szCs w:val="22"/>
        </w:rPr>
        <w:t>Also known as “learner analysis,” the process of determining existing knowledge, skills, and attitudes related to proposed learning or performance need (Dick et al., 2014).</w:t>
      </w:r>
    </w:p>
    <w:p w14:paraId="4F23032A"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p>
    <w:p w14:paraId="0D3D4697"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bookmarkStart w:id="45" w:name="ID12607"/>
      <w:bookmarkStart w:id="46" w:name="ID12608"/>
      <w:bookmarkEnd w:id="45"/>
      <w:bookmarkEnd w:id="46"/>
      <w:r w:rsidRPr="00910DBA">
        <w:rPr>
          <w:rFonts w:eastAsia="Times New Roman" w:cs="Times New Roman"/>
          <w:b/>
          <w:bCs/>
          <w:szCs w:val="22"/>
        </w:rPr>
        <w:t>Authentic assessment</w:t>
      </w:r>
      <w:r w:rsidRPr="00910DBA">
        <w:rPr>
          <w:rFonts w:eastAsia="Times New Roman" w:cs="Times New Roman"/>
          <w:szCs w:val="22"/>
        </w:rPr>
        <w:t xml:space="preserve"> </w:t>
      </w:r>
      <w:r w:rsidRPr="00910DBA">
        <w:rPr>
          <w:rFonts w:eastAsia="Times New Roman" w:cs="Times New Roman"/>
          <w:szCs w:val="22"/>
        </w:rPr>
        <w:tab/>
      </w:r>
      <w:bookmarkStart w:id="47" w:name="ID12609"/>
      <w:bookmarkEnd w:id="47"/>
      <w:r w:rsidRPr="00910DBA">
        <w:rPr>
          <w:rFonts w:eastAsia="Times New Roman" w:cs="Times New Roman"/>
          <w:szCs w:val="22"/>
        </w:rPr>
        <w:t>Assessments provided in meaningful real-life contexts (or close approximations) where the newly acquired skills will ultimately be applied (Dick et al., 2014).</w:t>
      </w:r>
    </w:p>
    <w:p w14:paraId="02C9CAA7"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p>
    <w:p w14:paraId="12701A33"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bookmarkStart w:id="48" w:name="ID12610"/>
      <w:bookmarkStart w:id="49" w:name="ID12611"/>
      <w:bookmarkEnd w:id="48"/>
      <w:bookmarkEnd w:id="49"/>
      <w:r w:rsidRPr="00910DBA">
        <w:rPr>
          <w:rFonts w:eastAsia="Times New Roman" w:cs="Times New Roman"/>
          <w:b/>
          <w:bCs/>
          <w:szCs w:val="22"/>
        </w:rPr>
        <w:t>Blended learning</w:t>
      </w:r>
      <w:r w:rsidRPr="00910DBA">
        <w:rPr>
          <w:rFonts w:eastAsia="Times New Roman" w:cs="Times New Roman"/>
          <w:szCs w:val="22"/>
        </w:rPr>
        <w:t xml:space="preserve"> </w:t>
      </w:r>
      <w:r w:rsidRPr="00910DBA">
        <w:rPr>
          <w:rFonts w:eastAsia="Times New Roman" w:cs="Times New Roman"/>
          <w:szCs w:val="22"/>
        </w:rPr>
        <w:tab/>
      </w:r>
      <w:bookmarkStart w:id="50" w:name="ID12612"/>
      <w:bookmarkEnd w:id="50"/>
      <w:r w:rsidRPr="00910DBA">
        <w:rPr>
          <w:rFonts w:eastAsia="Times New Roman" w:cs="Times New Roman"/>
          <w:szCs w:val="22"/>
        </w:rPr>
        <w:t xml:space="preserve">A mix of learning experiences that includes learning in a supervised physical location away from home, and through online delivery where the student has control over the time, place, </w:t>
      </w:r>
      <w:proofErr w:type="gramStart"/>
      <w:r w:rsidRPr="00910DBA">
        <w:rPr>
          <w:rFonts w:eastAsia="Times New Roman" w:cs="Times New Roman"/>
          <w:szCs w:val="22"/>
        </w:rPr>
        <w:t>path</w:t>
      </w:r>
      <w:proofErr w:type="gramEnd"/>
      <w:r w:rsidRPr="00910DBA">
        <w:rPr>
          <w:rFonts w:eastAsia="Times New Roman" w:cs="Times New Roman"/>
          <w:szCs w:val="22"/>
        </w:rPr>
        <w:t xml:space="preserve"> and/or the pace of the learning experiences (</w:t>
      </w:r>
      <w:proofErr w:type="spellStart"/>
      <w:r w:rsidRPr="00910DBA">
        <w:rPr>
          <w:rFonts w:eastAsia="Times New Roman" w:cs="Times New Roman"/>
          <w:szCs w:val="22"/>
        </w:rPr>
        <w:t>Staker</w:t>
      </w:r>
      <w:proofErr w:type="spellEnd"/>
      <w:r w:rsidRPr="00910DBA">
        <w:rPr>
          <w:rFonts w:eastAsia="Times New Roman" w:cs="Times New Roman"/>
          <w:szCs w:val="22"/>
        </w:rPr>
        <w:t xml:space="preserve"> &amp; Horn, 2012). Also known as </w:t>
      </w:r>
      <w:bookmarkStart w:id="51" w:name="ID12613"/>
      <w:bookmarkEnd w:id="51"/>
      <w:r w:rsidRPr="00910DBA">
        <w:rPr>
          <w:rFonts w:eastAsia="Times New Roman" w:cs="Times New Roman"/>
          <w:i/>
          <w:iCs/>
          <w:szCs w:val="22"/>
        </w:rPr>
        <w:t>hybrid learning</w:t>
      </w:r>
      <w:r w:rsidRPr="00910DBA">
        <w:rPr>
          <w:rFonts w:eastAsia="Times New Roman" w:cs="Times New Roman"/>
          <w:szCs w:val="22"/>
        </w:rPr>
        <w:t>.</w:t>
      </w:r>
    </w:p>
    <w:p w14:paraId="71A9CC7A"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p>
    <w:p w14:paraId="1A164CC6"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bookmarkStart w:id="52" w:name="ID12614"/>
      <w:bookmarkStart w:id="53" w:name="ID12615"/>
      <w:bookmarkEnd w:id="52"/>
      <w:bookmarkEnd w:id="53"/>
      <w:r w:rsidRPr="00910DBA">
        <w:rPr>
          <w:rFonts w:eastAsia="Times New Roman" w:cs="Times New Roman"/>
          <w:b/>
          <w:bCs/>
          <w:szCs w:val="22"/>
        </w:rPr>
        <w:t>Bloom’s Taxonomy</w:t>
      </w:r>
      <w:r w:rsidRPr="00910DBA">
        <w:rPr>
          <w:rFonts w:eastAsia="Times New Roman" w:cs="Times New Roman"/>
          <w:szCs w:val="22"/>
        </w:rPr>
        <w:t xml:space="preserve"> </w:t>
      </w:r>
      <w:r w:rsidRPr="00910DBA">
        <w:rPr>
          <w:rFonts w:eastAsia="Times New Roman" w:cs="Times New Roman"/>
          <w:szCs w:val="22"/>
        </w:rPr>
        <w:tab/>
      </w:r>
      <w:bookmarkStart w:id="54" w:name="ID12616"/>
      <w:bookmarkEnd w:id="54"/>
      <w:r w:rsidRPr="00910DBA">
        <w:rPr>
          <w:rFonts w:eastAsia="Times New Roman" w:cs="Times New Roman"/>
          <w:szCs w:val="22"/>
        </w:rPr>
        <w:t xml:space="preserve">Bloom’s Taxonomy of Educational Objectives (Bloom et al., 1956a) is a classification of cognitive, psychomotor, and affective learning outcomes. The most popular of the classifications is the handbook for cognitive objectives (thinking skills), and the most commonly used version of that taxonomy today is the revision completed in 2001 (Anderson et al., 2001). </w:t>
      </w:r>
    </w:p>
    <w:p w14:paraId="648C037F"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p>
    <w:p w14:paraId="6A6F087C"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bookmarkStart w:id="55" w:name="ID12617"/>
      <w:bookmarkStart w:id="56" w:name="ID12618"/>
      <w:bookmarkEnd w:id="55"/>
      <w:bookmarkEnd w:id="56"/>
      <w:r w:rsidRPr="00910DBA">
        <w:rPr>
          <w:rFonts w:eastAsia="Times New Roman" w:cs="Times New Roman"/>
          <w:b/>
          <w:bCs/>
          <w:szCs w:val="22"/>
        </w:rPr>
        <w:t>Chunking</w:t>
      </w:r>
      <w:r w:rsidRPr="00910DBA">
        <w:rPr>
          <w:rFonts w:eastAsia="Times New Roman" w:cs="Times New Roman"/>
          <w:szCs w:val="22"/>
        </w:rPr>
        <w:t xml:space="preserve"> </w:t>
      </w:r>
      <w:r w:rsidRPr="00910DBA">
        <w:rPr>
          <w:rFonts w:eastAsia="Times New Roman" w:cs="Times New Roman"/>
          <w:szCs w:val="22"/>
        </w:rPr>
        <w:tab/>
      </w:r>
      <w:bookmarkStart w:id="57" w:name="ID12619"/>
      <w:bookmarkEnd w:id="57"/>
      <w:r w:rsidRPr="00910DBA">
        <w:rPr>
          <w:rFonts w:eastAsia="Times New Roman" w:cs="Times New Roman"/>
          <w:szCs w:val="22"/>
        </w:rPr>
        <w:t xml:space="preserve">An instructional strategy that divides information into manageable “chunks” or units, that are ultimately combined to construct a more complex lesson </w:t>
      </w:r>
      <w:r w:rsidRPr="00910DBA">
        <w:rPr>
          <w:rFonts w:eastAsia="Times New Roman" w:cs="Times New Roman"/>
          <w:szCs w:val="22"/>
        </w:rPr>
        <w:lastRenderedPageBreak/>
        <w:t>(Dabbagh &amp; Bannan-Ritland, 2005). A related concept is George Miller’s (1956) “magical number 7, plus or minus 2,” which refers to the average amount of objects a learner can hold in working memory.</w:t>
      </w:r>
    </w:p>
    <w:p w14:paraId="40A565B9"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p>
    <w:p w14:paraId="243C3A88"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bookmarkStart w:id="58" w:name="ID12620"/>
      <w:bookmarkStart w:id="59" w:name="ID12621"/>
      <w:bookmarkEnd w:id="58"/>
      <w:bookmarkEnd w:id="59"/>
      <w:r w:rsidRPr="00910DBA">
        <w:rPr>
          <w:rFonts w:eastAsia="Times New Roman" w:cs="Times New Roman"/>
          <w:b/>
          <w:bCs/>
          <w:szCs w:val="22"/>
        </w:rPr>
        <w:t>Classifying</w:t>
      </w:r>
      <w:r w:rsidRPr="00910DBA">
        <w:rPr>
          <w:rFonts w:eastAsia="Times New Roman" w:cs="Times New Roman"/>
          <w:szCs w:val="22"/>
        </w:rPr>
        <w:t xml:space="preserve"> </w:t>
      </w:r>
      <w:r w:rsidRPr="00910DBA">
        <w:rPr>
          <w:rFonts w:eastAsia="Times New Roman" w:cs="Times New Roman"/>
          <w:szCs w:val="22"/>
        </w:rPr>
        <w:tab/>
      </w:r>
      <w:bookmarkStart w:id="60" w:name="ID12622"/>
      <w:bookmarkEnd w:id="60"/>
      <w:r w:rsidRPr="00910DBA">
        <w:rPr>
          <w:rFonts w:eastAsia="Times New Roman" w:cs="Times New Roman"/>
          <w:szCs w:val="22"/>
        </w:rPr>
        <w:t>Grouping entities on the basis of their common attributes.</w:t>
      </w:r>
    </w:p>
    <w:p w14:paraId="359E4275"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p>
    <w:p w14:paraId="13684E2F"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bookmarkStart w:id="61" w:name="ID12623"/>
      <w:bookmarkStart w:id="62" w:name="ID12624"/>
      <w:bookmarkEnd w:id="61"/>
      <w:bookmarkEnd w:id="62"/>
      <w:r w:rsidRPr="00910DBA">
        <w:rPr>
          <w:rFonts w:eastAsia="Times New Roman" w:cs="Times New Roman"/>
          <w:b/>
          <w:bCs/>
          <w:szCs w:val="22"/>
        </w:rPr>
        <w:t>Cognitive apprenticeship</w:t>
      </w:r>
      <w:r w:rsidRPr="00910DBA">
        <w:rPr>
          <w:rFonts w:eastAsia="Times New Roman" w:cs="Times New Roman"/>
          <w:szCs w:val="22"/>
        </w:rPr>
        <w:t xml:space="preserve"> </w:t>
      </w:r>
      <w:r w:rsidRPr="00910DBA">
        <w:rPr>
          <w:rFonts w:eastAsia="Times New Roman" w:cs="Times New Roman"/>
          <w:szCs w:val="22"/>
        </w:rPr>
        <w:tab/>
      </w:r>
      <w:bookmarkStart w:id="63" w:name="ID12625"/>
      <w:bookmarkEnd w:id="63"/>
      <w:r w:rsidRPr="00910DBA">
        <w:rPr>
          <w:rFonts w:eastAsia="Times New Roman" w:cs="Times New Roman"/>
          <w:szCs w:val="22"/>
        </w:rPr>
        <w:t>An instructional strategy that pairs a less experienced learner with an expert to learn a skill along with implicit and tacit knowledge, and to receive coaching and mentoring (Brown, Collins &amp; Duguid, 1989).</w:t>
      </w:r>
    </w:p>
    <w:p w14:paraId="238C2616"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p>
    <w:p w14:paraId="529DD8A2"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bookmarkStart w:id="64" w:name="ID12626"/>
      <w:bookmarkStart w:id="65" w:name="ID12627"/>
      <w:bookmarkEnd w:id="64"/>
      <w:bookmarkEnd w:id="65"/>
      <w:r w:rsidRPr="00910DBA">
        <w:rPr>
          <w:rFonts w:eastAsia="Times New Roman" w:cs="Times New Roman"/>
          <w:b/>
          <w:bCs/>
          <w:szCs w:val="22"/>
        </w:rPr>
        <w:t>Cognitive flexibility theory</w:t>
      </w:r>
      <w:r w:rsidRPr="00910DBA">
        <w:rPr>
          <w:rFonts w:eastAsia="Times New Roman" w:cs="Times New Roman"/>
          <w:szCs w:val="22"/>
        </w:rPr>
        <w:t xml:space="preserve"> </w:t>
      </w:r>
      <w:r w:rsidRPr="00910DBA">
        <w:rPr>
          <w:rFonts w:eastAsia="Times New Roman" w:cs="Times New Roman"/>
          <w:szCs w:val="22"/>
        </w:rPr>
        <w:tab/>
      </w:r>
      <w:bookmarkStart w:id="66" w:name="ID12628"/>
      <w:bookmarkEnd w:id="66"/>
      <w:r w:rsidRPr="00910DBA">
        <w:rPr>
          <w:rFonts w:eastAsia="Times New Roman" w:cs="Times New Roman"/>
          <w:szCs w:val="22"/>
        </w:rPr>
        <w:t xml:space="preserve">A constructivist theory that focuses on the nature of learning in complex, ill-structured domains and concerns the ability to adapt and change one’s mental organization of knowledge and mental management of solution strategies to solve new, unexpected problems (Spiro, Coulson, </w:t>
      </w:r>
      <w:proofErr w:type="spellStart"/>
      <w:r w:rsidRPr="00910DBA">
        <w:rPr>
          <w:rFonts w:eastAsia="Times New Roman" w:cs="Times New Roman"/>
          <w:szCs w:val="22"/>
        </w:rPr>
        <w:t>Feltovich</w:t>
      </w:r>
      <w:proofErr w:type="spellEnd"/>
      <w:r w:rsidRPr="00910DBA">
        <w:rPr>
          <w:rFonts w:eastAsia="Times New Roman" w:cs="Times New Roman"/>
          <w:szCs w:val="22"/>
        </w:rPr>
        <w:t>, &amp; Anderson, 1988).</w:t>
      </w:r>
    </w:p>
    <w:p w14:paraId="0C8C9300"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p>
    <w:p w14:paraId="07F019CE"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bookmarkStart w:id="67" w:name="ID12629"/>
      <w:bookmarkStart w:id="68" w:name="ID12630"/>
      <w:bookmarkEnd w:id="67"/>
      <w:bookmarkEnd w:id="68"/>
      <w:r w:rsidRPr="00910DBA">
        <w:rPr>
          <w:rFonts w:eastAsia="Times New Roman" w:cs="Times New Roman"/>
          <w:b/>
          <w:bCs/>
          <w:szCs w:val="22"/>
        </w:rPr>
        <w:t>Cognitive load theory</w:t>
      </w:r>
      <w:r w:rsidRPr="00910DBA">
        <w:rPr>
          <w:rFonts w:eastAsia="Times New Roman" w:cs="Times New Roman"/>
          <w:szCs w:val="22"/>
        </w:rPr>
        <w:t xml:space="preserve"> </w:t>
      </w:r>
      <w:bookmarkStart w:id="69" w:name="ID12631"/>
      <w:bookmarkEnd w:id="69"/>
      <w:r w:rsidRPr="00910DBA">
        <w:rPr>
          <w:rFonts w:eastAsia="Times New Roman" w:cs="Times New Roman"/>
          <w:szCs w:val="22"/>
        </w:rPr>
        <w:t>Cognitive load theory explains learning in terms of the limited capacity of working memory and distinguishes between intrinsic load and extraneous load. Intrinsic load refers to the inherent complexity of the material and the mental processing required by a task, while extraneous load refers to unnecessary processing caused by the way information is presented. Rather than being a separate category, the processes previously described as “germane load” (e.g., schema construction) are now understood as part of intrinsic cognitive processing directed toward learning (</w:t>
      </w:r>
      <w:proofErr w:type="spellStart"/>
      <w:r w:rsidRPr="00910DBA">
        <w:rPr>
          <w:rFonts w:eastAsia="Times New Roman" w:cs="Times New Roman"/>
          <w:szCs w:val="22"/>
        </w:rPr>
        <w:t>Sweller</w:t>
      </w:r>
      <w:proofErr w:type="spellEnd"/>
      <w:r w:rsidRPr="00910DBA">
        <w:rPr>
          <w:rFonts w:eastAsia="Times New Roman" w:cs="Times New Roman"/>
          <w:szCs w:val="22"/>
        </w:rPr>
        <w:t xml:space="preserve"> et al., 2019).</w:t>
      </w:r>
    </w:p>
    <w:p w14:paraId="211AAD29"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p>
    <w:p w14:paraId="1771AFA6"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bookmarkStart w:id="70" w:name="ID12632"/>
      <w:bookmarkStart w:id="71" w:name="ID12633"/>
      <w:bookmarkEnd w:id="70"/>
      <w:bookmarkEnd w:id="71"/>
      <w:r w:rsidRPr="00910DBA">
        <w:rPr>
          <w:rFonts w:eastAsia="Times New Roman" w:cs="Times New Roman"/>
          <w:b/>
          <w:bCs/>
          <w:szCs w:val="22"/>
        </w:rPr>
        <w:t>Cognitive Theory of Multimedia Learning</w:t>
      </w:r>
      <w:r w:rsidRPr="00910DBA">
        <w:rPr>
          <w:rFonts w:eastAsia="Times New Roman" w:cs="Times New Roman"/>
          <w:szCs w:val="22"/>
        </w:rPr>
        <w:t xml:space="preserve">   Mayer’s Cognitive Theory of Multimedia Learning (CTML) explains how people learn from words and pictures and provides a research-based framework for designing multimedia instruction. It is supported by 15 evidence-based design principles (12 of which are most commonly cited) that guide how to reduce extraneous cognitive processing (load), manage essential processing, and foster generative processing in multimedia learning environments</w:t>
      </w:r>
      <w:bookmarkStart w:id="72" w:name="ID12634"/>
      <w:bookmarkEnd w:id="72"/>
      <w:r w:rsidRPr="00910DBA">
        <w:rPr>
          <w:rFonts w:eastAsia="Times New Roman" w:cs="Times New Roman"/>
          <w:szCs w:val="22"/>
        </w:rPr>
        <w:t xml:space="preserve"> (Mayer, 2020).</w:t>
      </w:r>
    </w:p>
    <w:p w14:paraId="7F6C3E28"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p>
    <w:p w14:paraId="76996FFA"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bookmarkStart w:id="73" w:name="ID12635"/>
      <w:bookmarkStart w:id="74" w:name="ID12636"/>
      <w:bookmarkEnd w:id="73"/>
      <w:bookmarkEnd w:id="74"/>
      <w:r w:rsidRPr="00910DBA">
        <w:rPr>
          <w:rFonts w:eastAsia="Times New Roman" w:cs="Times New Roman"/>
          <w:b/>
          <w:bCs/>
          <w:szCs w:val="22"/>
        </w:rPr>
        <w:t xml:space="preserve">Cognitivism </w:t>
      </w:r>
      <w:r w:rsidRPr="00910DBA">
        <w:rPr>
          <w:rFonts w:eastAsia="Times New Roman" w:cs="Times New Roman"/>
          <w:szCs w:val="22"/>
        </w:rPr>
        <w:tab/>
      </w:r>
      <w:bookmarkStart w:id="75" w:name="ID12637"/>
      <w:bookmarkEnd w:id="75"/>
      <w:r w:rsidRPr="00910DBA">
        <w:rPr>
          <w:rFonts w:eastAsia="Times New Roman" w:cs="Times New Roman"/>
          <w:szCs w:val="22"/>
        </w:rPr>
        <w:t>A learning theory in which learning is viewed as active mental processing to store new knowledge in memory and retrieve knowledge from memory. Cognitivism emphasizes the structure of knowledge and external conditions that support internal mental processes known as schema (Woolfolk, 2005).</w:t>
      </w:r>
    </w:p>
    <w:p w14:paraId="7769B5F0"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p>
    <w:p w14:paraId="2D75BC96"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bookmarkStart w:id="76" w:name="ID12638"/>
      <w:bookmarkStart w:id="77" w:name="ID12639"/>
      <w:bookmarkEnd w:id="76"/>
      <w:bookmarkEnd w:id="77"/>
      <w:r w:rsidRPr="00910DBA">
        <w:rPr>
          <w:rFonts w:eastAsia="Times New Roman" w:cs="Times New Roman"/>
          <w:b/>
          <w:bCs/>
          <w:szCs w:val="22"/>
        </w:rPr>
        <w:t>Component display theory</w:t>
      </w:r>
      <w:r w:rsidRPr="00910DBA">
        <w:rPr>
          <w:rFonts w:eastAsia="Times New Roman" w:cs="Times New Roman"/>
          <w:szCs w:val="22"/>
        </w:rPr>
        <w:t xml:space="preserve"> </w:t>
      </w:r>
      <w:r w:rsidRPr="00910DBA">
        <w:rPr>
          <w:rFonts w:eastAsia="Times New Roman" w:cs="Times New Roman"/>
          <w:szCs w:val="22"/>
        </w:rPr>
        <w:tab/>
        <w:t xml:space="preserve"> </w:t>
      </w:r>
      <w:bookmarkStart w:id="78" w:name="ID12640"/>
      <w:bookmarkEnd w:id="78"/>
      <w:r w:rsidRPr="00910DBA">
        <w:rPr>
          <w:rFonts w:eastAsia="Times New Roman" w:cs="Times New Roman"/>
          <w:szCs w:val="22"/>
        </w:rPr>
        <w:t>An instructional theory consisting of component displays of instruction (descriptive theory) and the prescriptive relationships between these component displays and different kinds of instruction (prescriptive theory); this theory is based on the premise that there are different relationships between content ideas and that selecting an appropriate content structure and its instantiation provides the basis for more appropriately selecting instructional modules and their organization (Merrill, 1994).</w:t>
      </w:r>
    </w:p>
    <w:p w14:paraId="18D09ED6"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p>
    <w:p w14:paraId="166A3124"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bookmarkStart w:id="79" w:name="ID12641"/>
      <w:bookmarkStart w:id="80" w:name="ID12642"/>
      <w:bookmarkEnd w:id="79"/>
      <w:bookmarkEnd w:id="80"/>
      <w:r w:rsidRPr="00910DBA">
        <w:rPr>
          <w:rFonts w:eastAsia="Times New Roman" w:cs="Times New Roman"/>
          <w:b/>
          <w:bCs/>
          <w:szCs w:val="22"/>
        </w:rPr>
        <w:lastRenderedPageBreak/>
        <w:t xml:space="preserve">Concept </w:t>
      </w:r>
      <w:r w:rsidRPr="00910DBA">
        <w:rPr>
          <w:rFonts w:eastAsia="Times New Roman" w:cs="Times New Roman"/>
          <w:szCs w:val="22"/>
        </w:rPr>
        <w:tab/>
      </w:r>
      <w:bookmarkStart w:id="81" w:name="ID12643"/>
      <w:bookmarkEnd w:id="81"/>
      <w:r w:rsidRPr="00910DBA">
        <w:rPr>
          <w:rFonts w:eastAsia="Times New Roman" w:cs="Times New Roman"/>
          <w:szCs w:val="22"/>
        </w:rPr>
        <w:t>A set of objects, events, symbols, situations, and so on, that can be grouped together on the basis of one or more shared characteristics and given a common identifying label or symbol. Concept learning refers to the capacity to identify members of the concepts category (Dick et al., 2014).</w:t>
      </w:r>
    </w:p>
    <w:p w14:paraId="02EBEACE"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p>
    <w:p w14:paraId="2F9B8135"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bookmarkStart w:id="82" w:name="ID12644"/>
      <w:bookmarkStart w:id="83" w:name="ID12645"/>
      <w:bookmarkEnd w:id="82"/>
      <w:bookmarkEnd w:id="83"/>
      <w:r w:rsidRPr="00910DBA">
        <w:rPr>
          <w:rFonts w:eastAsia="Times New Roman" w:cs="Times New Roman"/>
          <w:b/>
          <w:bCs/>
          <w:szCs w:val="22"/>
        </w:rPr>
        <w:t>Concept formation</w:t>
      </w:r>
      <w:r w:rsidRPr="00910DBA">
        <w:rPr>
          <w:rFonts w:eastAsia="Times New Roman" w:cs="Times New Roman"/>
          <w:szCs w:val="22"/>
        </w:rPr>
        <w:t xml:space="preserve"> </w:t>
      </w:r>
      <w:r w:rsidRPr="00910DBA">
        <w:rPr>
          <w:rFonts w:eastAsia="Times New Roman" w:cs="Times New Roman"/>
          <w:szCs w:val="22"/>
        </w:rPr>
        <w:tab/>
      </w:r>
      <w:bookmarkStart w:id="84" w:name="ID12646"/>
      <w:bookmarkEnd w:id="84"/>
      <w:r w:rsidRPr="00910DBA">
        <w:rPr>
          <w:rFonts w:eastAsia="Times New Roman" w:cs="Times New Roman"/>
          <w:szCs w:val="22"/>
        </w:rPr>
        <w:t>Organizing information about an entity and associating the information with a label or word.</w:t>
      </w:r>
    </w:p>
    <w:p w14:paraId="7BB893B6"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p>
    <w:p w14:paraId="7307AC91"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bookmarkStart w:id="85" w:name="ID12647"/>
      <w:bookmarkStart w:id="86" w:name="ID12648"/>
      <w:bookmarkEnd w:id="85"/>
      <w:bookmarkEnd w:id="86"/>
      <w:r w:rsidRPr="00910DBA">
        <w:rPr>
          <w:rFonts w:eastAsia="Times New Roman" w:cs="Times New Roman"/>
          <w:b/>
          <w:bCs/>
          <w:szCs w:val="22"/>
        </w:rPr>
        <w:t xml:space="preserve">Connectivism </w:t>
      </w:r>
      <w:r w:rsidRPr="00910DBA">
        <w:rPr>
          <w:rFonts w:eastAsia="Times New Roman" w:cs="Times New Roman"/>
          <w:szCs w:val="22"/>
        </w:rPr>
        <w:tab/>
      </w:r>
      <w:bookmarkStart w:id="87" w:name="ID12649"/>
      <w:bookmarkEnd w:id="87"/>
      <w:r w:rsidRPr="00910DBA">
        <w:rPr>
          <w:rFonts w:eastAsia="Times New Roman" w:cs="Times New Roman"/>
          <w:szCs w:val="22"/>
        </w:rPr>
        <w:t xml:space="preserve">A philosophy (or, as Downes claims, a “thesis”) that knowledge is distributed across a network of connections rather than merely in the head of an individual, and learning consists of the connections made by a learner to build a network of information resources to consult when completing a related task. Some claim that Connectivism is </w:t>
      </w:r>
      <w:r w:rsidRPr="00910DBA">
        <w:rPr>
          <w:rFonts w:eastAsia="Times New Roman" w:cs="Times New Roman"/>
          <w:i/>
          <w:iCs/>
          <w:szCs w:val="22"/>
        </w:rPr>
        <w:t>a learning theory for a digital age</w:t>
      </w:r>
      <w:r w:rsidRPr="00910DBA">
        <w:rPr>
          <w:rFonts w:eastAsia="Times New Roman" w:cs="Times New Roman"/>
          <w:szCs w:val="22"/>
        </w:rPr>
        <w:t xml:space="preserve"> (Downes, 2012, 2022; Siemens, 2004).</w:t>
      </w:r>
    </w:p>
    <w:p w14:paraId="087435D5"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p>
    <w:p w14:paraId="6D41E94B"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bookmarkStart w:id="88" w:name="ID12650"/>
      <w:bookmarkStart w:id="89" w:name="ID12651"/>
      <w:bookmarkEnd w:id="88"/>
      <w:bookmarkEnd w:id="89"/>
      <w:r w:rsidRPr="00910DBA">
        <w:rPr>
          <w:rFonts w:eastAsia="Times New Roman" w:cs="Times New Roman"/>
          <w:b/>
          <w:bCs/>
          <w:szCs w:val="22"/>
        </w:rPr>
        <w:t xml:space="preserve">Constraints </w:t>
      </w:r>
      <w:r w:rsidRPr="00910DBA">
        <w:rPr>
          <w:rFonts w:eastAsia="Times New Roman" w:cs="Times New Roman"/>
          <w:szCs w:val="22"/>
        </w:rPr>
        <w:tab/>
      </w:r>
      <w:bookmarkStart w:id="90" w:name="ID12652"/>
      <w:bookmarkEnd w:id="90"/>
      <w:r w:rsidRPr="00910DBA">
        <w:rPr>
          <w:rFonts w:eastAsia="Times New Roman" w:cs="Times New Roman"/>
          <w:szCs w:val="22"/>
        </w:rPr>
        <w:t>Every instructional design project is subject to constraints, or limits, on the parameters of the project. Constraints may include non-negotiable design specifications that have been dictated by key stakeholders, as well as limits on the amount of time and/or human and non-human resources that are available to complete the project.</w:t>
      </w:r>
    </w:p>
    <w:p w14:paraId="149FD5F0"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p>
    <w:p w14:paraId="52DF1D0C"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bookmarkStart w:id="91" w:name="ID12653"/>
      <w:bookmarkStart w:id="92" w:name="ID12654"/>
      <w:bookmarkEnd w:id="91"/>
      <w:bookmarkEnd w:id="92"/>
      <w:r w:rsidRPr="00910DBA">
        <w:rPr>
          <w:rFonts w:eastAsia="Times New Roman" w:cs="Times New Roman"/>
          <w:b/>
          <w:bCs/>
          <w:szCs w:val="22"/>
        </w:rPr>
        <w:t>Constructivism</w:t>
      </w:r>
      <w:r w:rsidRPr="00910DBA">
        <w:rPr>
          <w:rFonts w:eastAsia="Times New Roman" w:cs="Times New Roman"/>
          <w:szCs w:val="22"/>
        </w:rPr>
        <w:t xml:space="preserve"> </w:t>
      </w:r>
      <w:r w:rsidRPr="00910DBA">
        <w:rPr>
          <w:rFonts w:eastAsia="Times New Roman" w:cs="Times New Roman"/>
          <w:szCs w:val="22"/>
        </w:rPr>
        <w:tab/>
      </w:r>
      <w:bookmarkStart w:id="93" w:name="ID12655"/>
      <w:bookmarkEnd w:id="93"/>
      <w:r w:rsidRPr="00910DBA">
        <w:rPr>
          <w:rFonts w:eastAsia="Times New Roman" w:cs="Times New Roman"/>
          <w:szCs w:val="22"/>
        </w:rPr>
        <w:t xml:space="preserve">A learning theory in which learning is viewed as an internal process of constructing meaning by combining existing knowledge with new knowledge gained through experiences in the social, cultural, and physical world. Constructivism emphasizes the processes and social interactions in which a student engages for learning (Woolfolk, 2005). </w:t>
      </w:r>
      <w:r w:rsidRPr="00910DBA">
        <w:rPr>
          <w:rFonts w:eastAsia="Times New Roman" w:cs="Times New Roman"/>
          <w:i/>
          <w:iCs/>
          <w:szCs w:val="22"/>
        </w:rPr>
        <w:t>Cognitive constructivism</w:t>
      </w:r>
      <w:r w:rsidRPr="00910DBA">
        <w:rPr>
          <w:rFonts w:eastAsia="Times New Roman" w:cs="Times New Roman"/>
          <w:szCs w:val="22"/>
        </w:rPr>
        <w:t xml:space="preserve"> emphasizes that learners actively construct knowledge through internal mental processes by integrating new information with prior knowledge and experiences, and </w:t>
      </w:r>
      <w:r w:rsidRPr="00910DBA">
        <w:rPr>
          <w:rFonts w:eastAsia="Times New Roman" w:cs="Times New Roman"/>
          <w:i/>
          <w:iCs/>
          <w:szCs w:val="22"/>
        </w:rPr>
        <w:t>social constructivism</w:t>
      </w:r>
      <w:r w:rsidRPr="00910DBA">
        <w:rPr>
          <w:rFonts w:eastAsia="Times New Roman" w:cs="Times New Roman"/>
          <w:szCs w:val="22"/>
        </w:rPr>
        <w:t xml:space="preserve"> emphasizes that knowledge is constructed through social interaction, collaboration, and cultural context, with learning occurring through dialogue, negotiation, and participation with others (Driscoll &amp; Burner, 2022; Seels &amp; Richey, 1994).</w:t>
      </w:r>
    </w:p>
    <w:p w14:paraId="546A2C6D"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p>
    <w:p w14:paraId="08372DFD"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bookmarkStart w:id="94" w:name="ID12656"/>
      <w:bookmarkStart w:id="95" w:name="ID12657"/>
      <w:bookmarkEnd w:id="94"/>
      <w:bookmarkEnd w:id="95"/>
      <w:r w:rsidRPr="00910DBA">
        <w:rPr>
          <w:rFonts w:eastAsia="Times New Roman" w:cs="Times New Roman"/>
          <w:szCs w:val="22"/>
        </w:rPr>
        <w:t xml:space="preserve"> </w:t>
      </w:r>
      <w:r w:rsidRPr="00910DBA">
        <w:rPr>
          <w:rFonts w:eastAsia="Times New Roman" w:cs="Times New Roman"/>
          <w:b/>
          <w:bCs/>
          <w:szCs w:val="22"/>
        </w:rPr>
        <w:t>Content curation</w:t>
      </w:r>
      <w:r w:rsidRPr="00910DBA">
        <w:rPr>
          <w:rFonts w:eastAsia="Times New Roman" w:cs="Times New Roman"/>
          <w:szCs w:val="22"/>
        </w:rPr>
        <w:t xml:space="preserve"> </w:t>
      </w:r>
      <w:r w:rsidRPr="00910DBA">
        <w:rPr>
          <w:rFonts w:eastAsia="Times New Roman" w:cs="Times New Roman"/>
          <w:szCs w:val="22"/>
        </w:rPr>
        <w:tab/>
      </w:r>
      <w:bookmarkStart w:id="96" w:name="ID12658"/>
      <w:bookmarkEnd w:id="96"/>
      <w:r w:rsidRPr="00910DBA">
        <w:rPr>
          <w:rFonts w:eastAsia="Times New Roman" w:cs="Times New Roman"/>
          <w:szCs w:val="22"/>
        </w:rPr>
        <w:t xml:space="preserve">The act of organizing, </w:t>
      </w:r>
      <w:proofErr w:type="gramStart"/>
      <w:r w:rsidRPr="00910DBA">
        <w:rPr>
          <w:rFonts w:eastAsia="Times New Roman" w:cs="Times New Roman"/>
          <w:szCs w:val="22"/>
        </w:rPr>
        <w:t>maintaining</w:t>
      </w:r>
      <w:proofErr w:type="gramEnd"/>
      <w:r w:rsidRPr="00910DBA">
        <w:rPr>
          <w:rFonts w:eastAsia="Times New Roman" w:cs="Times New Roman"/>
          <w:szCs w:val="22"/>
        </w:rPr>
        <w:t xml:space="preserve"> and commenting on a collection of information artifacts on a topic of interest.</w:t>
      </w:r>
    </w:p>
    <w:p w14:paraId="47EBF4F6"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p>
    <w:p w14:paraId="42216818"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bookmarkStart w:id="97" w:name="ID12659"/>
      <w:bookmarkStart w:id="98" w:name="ID12660"/>
      <w:bookmarkStart w:id="99" w:name="ID12662"/>
      <w:bookmarkStart w:id="100" w:name="ID12663"/>
      <w:bookmarkEnd w:id="97"/>
      <w:bookmarkEnd w:id="98"/>
      <w:bookmarkEnd w:id="99"/>
      <w:bookmarkEnd w:id="100"/>
      <w:r w:rsidRPr="00910DBA">
        <w:rPr>
          <w:rFonts w:eastAsia="Times New Roman" w:cs="Times New Roman"/>
          <w:b/>
          <w:bCs/>
          <w:szCs w:val="22"/>
        </w:rPr>
        <w:t>Creative thinking</w:t>
      </w:r>
      <w:r w:rsidRPr="00910DBA">
        <w:rPr>
          <w:rFonts w:eastAsia="Times New Roman" w:cs="Times New Roman"/>
          <w:szCs w:val="22"/>
        </w:rPr>
        <w:t xml:space="preserve"> </w:t>
      </w:r>
      <w:r w:rsidRPr="00910DBA">
        <w:rPr>
          <w:rFonts w:eastAsia="Times New Roman" w:cs="Times New Roman"/>
          <w:szCs w:val="22"/>
        </w:rPr>
        <w:tab/>
      </w:r>
      <w:bookmarkStart w:id="101" w:name="ID12664"/>
      <w:bookmarkEnd w:id="101"/>
      <w:r w:rsidRPr="00910DBA">
        <w:rPr>
          <w:rFonts w:eastAsia="Times New Roman" w:cs="Times New Roman"/>
          <w:szCs w:val="22"/>
        </w:rPr>
        <w:t>The ability to think fluently, flexibly, and originally about. To form new combinations of ideas to fulfill a need, to produce an original or appropriate solution to a problem or challenge for the domain in question.</w:t>
      </w:r>
    </w:p>
    <w:p w14:paraId="16A33BAF"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p>
    <w:p w14:paraId="0F356FAF"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bookmarkStart w:id="102" w:name="ID12665"/>
      <w:bookmarkStart w:id="103" w:name="ID12666"/>
      <w:bookmarkEnd w:id="102"/>
      <w:bookmarkEnd w:id="103"/>
      <w:r w:rsidRPr="00910DBA">
        <w:rPr>
          <w:rFonts w:eastAsia="Times New Roman" w:cs="Times New Roman"/>
          <w:b/>
          <w:bCs/>
          <w:szCs w:val="22"/>
        </w:rPr>
        <w:t>Critical incident analysis</w:t>
      </w:r>
      <w:r w:rsidRPr="00910DBA">
        <w:rPr>
          <w:rFonts w:eastAsia="Times New Roman" w:cs="Times New Roman"/>
          <w:szCs w:val="22"/>
        </w:rPr>
        <w:t xml:space="preserve"> </w:t>
      </w:r>
      <w:r w:rsidRPr="00910DBA">
        <w:rPr>
          <w:rFonts w:eastAsia="Times New Roman" w:cs="Times New Roman"/>
          <w:szCs w:val="22"/>
        </w:rPr>
        <w:tab/>
      </w:r>
      <w:bookmarkStart w:id="104" w:name="ID12667"/>
      <w:bookmarkEnd w:id="104"/>
      <w:r w:rsidRPr="00910DBA">
        <w:rPr>
          <w:rFonts w:eastAsia="Times New Roman" w:cs="Times New Roman"/>
          <w:szCs w:val="22"/>
        </w:rPr>
        <w:t>A component of the task analysis process used to identify the critical elements of a job, skill, or task by identifying and organizing the behaviors that are essential for effective execution. Also known as Critical Incident Method (CIM) (Jonassen, Tessmer, &amp; Hannum, 1999).</w:t>
      </w:r>
    </w:p>
    <w:p w14:paraId="100A4E84"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p>
    <w:p w14:paraId="7672CB6E"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bookmarkStart w:id="105" w:name="ID12668"/>
      <w:bookmarkStart w:id="106" w:name="ID12669"/>
      <w:bookmarkEnd w:id="105"/>
      <w:bookmarkEnd w:id="106"/>
      <w:r w:rsidRPr="00910DBA">
        <w:rPr>
          <w:rFonts w:eastAsia="Times New Roman" w:cs="Times New Roman"/>
          <w:b/>
          <w:bCs/>
          <w:szCs w:val="22"/>
        </w:rPr>
        <w:lastRenderedPageBreak/>
        <w:t>Critical thinking</w:t>
      </w:r>
      <w:r w:rsidRPr="00910DBA">
        <w:rPr>
          <w:rFonts w:eastAsia="Times New Roman" w:cs="Times New Roman"/>
          <w:szCs w:val="22"/>
        </w:rPr>
        <w:t xml:space="preserve"> </w:t>
      </w:r>
      <w:r w:rsidRPr="00910DBA">
        <w:rPr>
          <w:rFonts w:eastAsia="Times New Roman" w:cs="Times New Roman"/>
          <w:szCs w:val="22"/>
        </w:rPr>
        <w:tab/>
      </w:r>
      <w:bookmarkStart w:id="107" w:name="ID12670"/>
      <w:bookmarkEnd w:id="107"/>
      <w:r w:rsidRPr="00910DBA">
        <w:rPr>
          <w:rFonts w:eastAsia="Times New Roman" w:cs="Times New Roman"/>
          <w:szCs w:val="22"/>
        </w:rPr>
        <w:t>Reasonable, objective, and logical reflective thinking that is focused on decided what to believe or do, while being aware of one’s own biases. The ability to analyze arguments, see other points of view, and reach sound conclusions.</w:t>
      </w:r>
    </w:p>
    <w:p w14:paraId="2CF344FB"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p>
    <w:p w14:paraId="0BAA1B24"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bookmarkStart w:id="108" w:name="ID12671"/>
      <w:bookmarkStart w:id="109" w:name="ID12672"/>
      <w:bookmarkEnd w:id="108"/>
      <w:bookmarkEnd w:id="109"/>
      <w:r w:rsidRPr="00910DBA">
        <w:rPr>
          <w:rFonts w:eastAsia="Times New Roman" w:cs="Times New Roman"/>
          <w:b/>
          <w:bCs/>
          <w:szCs w:val="22"/>
        </w:rPr>
        <w:t>Criticality analysis</w:t>
      </w:r>
      <w:r w:rsidRPr="00910DBA">
        <w:rPr>
          <w:rFonts w:eastAsia="Times New Roman" w:cs="Times New Roman"/>
          <w:szCs w:val="22"/>
        </w:rPr>
        <w:t xml:space="preserve"> </w:t>
      </w:r>
      <w:r w:rsidRPr="00910DBA">
        <w:rPr>
          <w:rFonts w:eastAsia="Times New Roman" w:cs="Times New Roman"/>
          <w:szCs w:val="22"/>
        </w:rPr>
        <w:tab/>
      </w:r>
      <w:bookmarkStart w:id="110" w:name="ID12673"/>
      <w:bookmarkEnd w:id="110"/>
      <w:r w:rsidRPr="00910DBA">
        <w:rPr>
          <w:rFonts w:eastAsia="Times New Roman" w:cs="Times New Roman"/>
          <w:szCs w:val="22"/>
        </w:rPr>
        <w:t>A factor used to determine how essential a task is to job performance (U.S. Department of the Coast Guard, Training Division, Force Readiness Command, 2011, p. 4).</w:t>
      </w:r>
    </w:p>
    <w:p w14:paraId="17DFF245"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p>
    <w:p w14:paraId="055E11C5"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bookmarkStart w:id="111" w:name="ID12674"/>
      <w:bookmarkStart w:id="112" w:name="ID12675"/>
      <w:bookmarkEnd w:id="111"/>
      <w:bookmarkEnd w:id="112"/>
      <w:r w:rsidRPr="00910DBA">
        <w:rPr>
          <w:rFonts w:eastAsia="Times New Roman" w:cs="Times New Roman"/>
          <w:b/>
          <w:bCs/>
          <w:szCs w:val="22"/>
        </w:rPr>
        <w:t xml:space="preserve">Curriculum </w:t>
      </w:r>
      <w:r w:rsidRPr="00910DBA">
        <w:rPr>
          <w:rFonts w:eastAsia="Times New Roman" w:cs="Times New Roman"/>
          <w:szCs w:val="22"/>
        </w:rPr>
        <w:tab/>
      </w:r>
      <w:bookmarkStart w:id="113" w:name="ID12676"/>
      <w:bookmarkEnd w:id="113"/>
      <w:r w:rsidRPr="00910DBA">
        <w:rPr>
          <w:rFonts w:eastAsia="Times New Roman" w:cs="Times New Roman"/>
          <w:szCs w:val="22"/>
        </w:rPr>
        <w:t>A structured series of instructional topics and materials intended to address specific learning goals and outcomes.</w:t>
      </w:r>
    </w:p>
    <w:p w14:paraId="04DC57BC"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p>
    <w:p w14:paraId="141E7E5F"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bookmarkStart w:id="114" w:name="ID12677"/>
      <w:bookmarkStart w:id="115" w:name="ID12678"/>
      <w:bookmarkEnd w:id="114"/>
      <w:bookmarkEnd w:id="115"/>
      <w:r w:rsidRPr="00910DBA">
        <w:rPr>
          <w:rFonts w:eastAsia="Times New Roman" w:cs="Times New Roman"/>
          <w:b/>
          <w:bCs/>
          <w:szCs w:val="22"/>
        </w:rPr>
        <w:t>Declarative information</w:t>
      </w:r>
      <w:r w:rsidRPr="00910DBA">
        <w:rPr>
          <w:rFonts w:eastAsia="Times New Roman" w:cs="Times New Roman"/>
          <w:szCs w:val="22"/>
        </w:rPr>
        <w:t xml:space="preserve">  </w:t>
      </w:r>
      <w:bookmarkStart w:id="116" w:name="ID12679"/>
      <w:bookmarkEnd w:id="116"/>
      <w:r w:rsidRPr="00910DBA">
        <w:rPr>
          <w:rFonts w:eastAsia="Times New Roman" w:cs="Times New Roman"/>
          <w:szCs w:val="22"/>
        </w:rPr>
        <w:t xml:space="preserve">Factual information, including concepts, rules, procedures. Referred to by Gagné (1985) in his classification of types of learning outcomes as “verbal information.” </w:t>
      </w:r>
    </w:p>
    <w:p w14:paraId="70E2C964"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p>
    <w:p w14:paraId="4754FB16"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bookmarkStart w:id="117" w:name="ID12680"/>
      <w:bookmarkStart w:id="118" w:name="ID12681"/>
      <w:bookmarkEnd w:id="117"/>
      <w:bookmarkEnd w:id="118"/>
      <w:r w:rsidRPr="00910DBA">
        <w:rPr>
          <w:rFonts w:eastAsia="Times New Roman" w:cs="Times New Roman"/>
          <w:b/>
          <w:bCs/>
          <w:szCs w:val="22"/>
        </w:rPr>
        <w:t>Delivery analysis</w:t>
      </w:r>
      <w:r w:rsidRPr="00910DBA">
        <w:rPr>
          <w:rFonts w:eastAsia="Times New Roman" w:cs="Times New Roman"/>
          <w:szCs w:val="22"/>
        </w:rPr>
        <w:t xml:space="preserve"> </w:t>
      </w:r>
      <w:r w:rsidRPr="00910DBA">
        <w:rPr>
          <w:rFonts w:eastAsia="Times New Roman" w:cs="Times New Roman"/>
          <w:szCs w:val="22"/>
        </w:rPr>
        <w:tab/>
      </w:r>
      <w:bookmarkStart w:id="119" w:name="ID12682"/>
      <w:bookmarkEnd w:id="119"/>
      <w:r w:rsidRPr="00910DBA">
        <w:rPr>
          <w:rFonts w:eastAsia="Times New Roman" w:cs="Times New Roman"/>
          <w:szCs w:val="22"/>
        </w:rPr>
        <w:t>An analysis of the delivery system for your instruction, including the method, logistics, and timeline outlined in the project scope. Delivery analysis involves consideration of what will work best for the learner, the demands of the content, what is most efficient for the learning environment, the time available for design and development, the logistics of implementation, the constraints of the project, and the cultural and technological environment of the organization (</w:t>
      </w:r>
      <w:proofErr w:type="spellStart"/>
      <w:r w:rsidRPr="00910DBA">
        <w:rPr>
          <w:rFonts w:eastAsia="Times New Roman" w:cs="Times New Roman"/>
          <w:szCs w:val="22"/>
        </w:rPr>
        <w:t>Piskurich</w:t>
      </w:r>
      <w:proofErr w:type="spellEnd"/>
      <w:r w:rsidRPr="00910DBA">
        <w:rPr>
          <w:rFonts w:eastAsia="Times New Roman" w:cs="Times New Roman"/>
          <w:szCs w:val="22"/>
        </w:rPr>
        <w:t>, 2015).</w:t>
      </w:r>
    </w:p>
    <w:p w14:paraId="22315B47"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p>
    <w:p w14:paraId="5A8775ED"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bookmarkStart w:id="120" w:name="ID12683"/>
      <w:bookmarkStart w:id="121" w:name="ID12684"/>
      <w:bookmarkEnd w:id="120"/>
      <w:bookmarkEnd w:id="121"/>
      <w:r w:rsidRPr="00910DBA">
        <w:rPr>
          <w:rFonts w:eastAsia="Times New Roman" w:cs="Times New Roman"/>
          <w:b/>
          <w:bCs/>
          <w:szCs w:val="22"/>
        </w:rPr>
        <w:t>Delivery mode</w:t>
      </w:r>
      <w:r w:rsidRPr="00910DBA">
        <w:rPr>
          <w:rFonts w:eastAsia="Times New Roman" w:cs="Times New Roman"/>
          <w:szCs w:val="22"/>
        </w:rPr>
        <w:t xml:space="preserve"> </w:t>
      </w:r>
      <w:r w:rsidRPr="00910DBA">
        <w:rPr>
          <w:rFonts w:eastAsia="Times New Roman" w:cs="Times New Roman"/>
          <w:szCs w:val="22"/>
        </w:rPr>
        <w:tab/>
      </w:r>
      <w:bookmarkStart w:id="122" w:name="ID12685"/>
      <w:bookmarkEnd w:id="122"/>
      <w:r w:rsidRPr="00910DBA">
        <w:rPr>
          <w:rFonts w:eastAsia="Times New Roman" w:cs="Times New Roman"/>
          <w:szCs w:val="22"/>
        </w:rPr>
        <w:t xml:space="preserve">Term used to describe the means by which instruction will be provided to learners. Includes instructor-led instruction, distance education, computer-based instruction, and self-instructional materials (Dick et al., 2014). It is currently used to describe online delivery modes that include asynchronous instruction, synchronous instruction, and blended or hybrid instruction. </w:t>
      </w:r>
    </w:p>
    <w:p w14:paraId="19C3FBB6"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p>
    <w:p w14:paraId="0E9C3D34"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bookmarkStart w:id="123" w:name="ID12686"/>
      <w:bookmarkStart w:id="124" w:name="ID12687"/>
      <w:bookmarkEnd w:id="123"/>
      <w:bookmarkEnd w:id="124"/>
      <w:r w:rsidRPr="00910DBA">
        <w:rPr>
          <w:rFonts w:eastAsia="Times New Roman" w:cs="Times New Roman"/>
          <w:b/>
          <w:bCs/>
          <w:szCs w:val="22"/>
        </w:rPr>
        <w:t>Delivery system</w:t>
      </w:r>
      <w:r w:rsidRPr="00910DBA">
        <w:rPr>
          <w:rFonts w:eastAsia="Times New Roman" w:cs="Times New Roman"/>
          <w:szCs w:val="22"/>
        </w:rPr>
        <w:t xml:space="preserve"> </w:t>
      </w:r>
      <w:r w:rsidRPr="00910DBA">
        <w:rPr>
          <w:rFonts w:eastAsia="Times New Roman" w:cs="Times New Roman"/>
          <w:szCs w:val="22"/>
        </w:rPr>
        <w:tab/>
      </w:r>
      <w:bookmarkStart w:id="125" w:name="ID12688"/>
      <w:bookmarkEnd w:id="125"/>
      <w:r w:rsidRPr="00910DBA">
        <w:rPr>
          <w:rFonts w:eastAsia="Times New Roman" w:cs="Times New Roman"/>
          <w:szCs w:val="22"/>
        </w:rPr>
        <w:t>The technical system that facilitates the instructional event.</w:t>
      </w:r>
    </w:p>
    <w:p w14:paraId="1AE49D54"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p>
    <w:p w14:paraId="4F746426"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bookmarkStart w:id="126" w:name="ID12689"/>
      <w:bookmarkStart w:id="127" w:name="ID12690"/>
      <w:bookmarkEnd w:id="126"/>
      <w:bookmarkEnd w:id="127"/>
      <w:r w:rsidRPr="00910DBA">
        <w:rPr>
          <w:rFonts w:eastAsia="Times New Roman" w:cs="Times New Roman"/>
          <w:b/>
          <w:bCs/>
          <w:szCs w:val="22"/>
        </w:rPr>
        <w:t xml:space="preserve">Demonstrate </w:t>
      </w:r>
      <w:r w:rsidRPr="00910DBA">
        <w:rPr>
          <w:rFonts w:eastAsia="Times New Roman" w:cs="Times New Roman"/>
          <w:szCs w:val="22"/>
        </w:rPr>
        <w:tab/>
      </w:r>
      <w:bookmarkStart w:id="128" w:name="ID12691"/>
      <w:bookmarkEnd w:id="128"/>
      <w:r w:rsidRPr="00910DBA">
        <w:rPr>
          <w:rFonts w:eastAsia="Times New Roman" w:cs="Times New Roman"/>
          <w:szCs w:val="22"/>
        </w:rPr>
        <w:t>A dynamic presentation where specific parts or processes are identified and the function or activities performed by each component is explained (Merrill, 1994).</w:t>
      </w:r>
    </w:p>
    <w:p w14:paraId="3F32EE54"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p>
    <w:p w14:paraId="1FEDF545"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bookmarkStart w:id="129" w:name="ID12692"/>
      <w:bookmarkStart w:id="130" w:name="ID12693"/>
      <w:bookmarkEnd w:id="129"/>
      <w:bookmarkEnd w:id="130"/>
      <w:r w:rsidRPr="00910DBA">
        <w:rPr>
          <w:rFonts w:eastAsia="Times New Roman" w:cs="Times New Roman"/>
          <w:b/>
          <w:bCs/>
          <w:szCs w:val="22"/>
        </w:rPr>
        <w:t xml:space="preserve">Differentiation </w:t>
      </w:r>
      <w:r w:rsidRPr="00910DBA">
        <w:rPr>
          <w:rFonts w:eastAsia="Times New Roman" w:cs="Times New Roman"/>
          <w:szCs w:val="22"/>
        </w:rPr>
        <w:tab/>
      </w:r>
      <w:bookmarkStart w:id="131" w:name="ID12694"/>
      <w:bookmarkEnd w:id="131"/>
      <w:r w:rsidRPr="00910DBA">
        <w:rPr>
          <w:rFonts w:eastAsia="Times New Roman" w:cs="Times New Roman"/>
          <w:szCs w:val="22"/>
        </w:rPr>
        <w:t>A term used primarily in K-12 environments that refers to efforts to provide learners with different ways to access, process and learn content in consideration of learner differences in readiness, interest, and learning needs (Tomlinson, 2001).</w:t>
      </w:r>
    </w:p>
    <w:p w14:paraId="06E70900"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p>
    <w:p w14:paraId="6850E990"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bookmarkStart w:id="132" w:name="ID12695"/>
      <w:bookmarkStart w:id="133" w:name="ID12696"/>
      <w:bookmarkEnd w:id="132"/>
      <w:bookmarkEnd w:id="133"/>
      <w:r w:rsidRPr="00910DBA">
        <w:rPr>
          <w:rFonts w:eastAsia="Times New Roman" w:cs="Times New Roman"/>
          <w:b/>
          <w:bCs/>
          <w:szCs w:val="22"/>
        </w:rPr>
        <w:t xml:space="preserve">Discrimination </w:t>
      </w:r>
      <w:r w:rsidRPr="00910DBA">
        <w:rPr>
          <w:rFonts w:eastAsia="Times New Roman" w:cs="Times New Roman"/>
          <w:szCs w:val="22"/>
        </w:rPr>
        <w:tab/>
      </w:r>
      <w:bookmarkStart w:id="134" w:name="ID12697"/>
      <w:bookmarkEnd w:id="134"/>
      <w:r w:rsidRPr="00910DBA">
        <w:rPr>
          <w:rFonts w:eastAsia="Times New Roman" w:cs="Times New Roman"/>
          <w:szCs w:val="22"/>
        </w:rPr>
        <w:t>Distinguishing one stimulus from another and responding differently to the various stimuli (Dick et al., 2014).</w:t>
      </w:r>
    </w:p>
    <w:p w14:paraId="031D2BBB"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p>
    <w:p w14:paraId="1123666D"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bookmarkStart w:id="135" w:name="ID12698"/>
      <w:bookmarkStart w:id="136" w:name="ID12699"/>
      <w:bookmarkEnd w:id="135"/>
      <w:bookmarkEnd w:id="136"/>
      <w:r w:rsidRPr="00910DBA">
        <w:rPr>
          <w:rFonts w:eastAsia="Times New Roman" w:cs="Times New Roman"/>
          <w:b/>
          <w:bCs/>
          <w:szCs w:val="22"/>
        </w:rPr>
        <w:t>Disequilibrium</w:t>
      </w:r>
      <w:r w:rsidRPr="00910DBA">
        <w:rPr>
          <w:rFonts w:eastAsia="Times New Roman" w:cs="Times New Roman"/>
          <w:szCs w:val="22"/>
        </w:rPr>
        <w:t xml:space="preserve"> </w:t>
      </w:r>
      <w:r w:rsidRPr="00910DBA">
        <w:rPr>
          <w:rFonts w:eastAsia="Times New Roman" w:cs="Times New Roman"/>
          <w:szCs w:val="22"/>
        </w:rPr>
        <w:tab/>
      </w:r>
      <w:bookmarkStart w:id="137" w:name="ID12700"/>
      <w:bookmarkEnd w:id="137"/>
      <w:r w:rsidRPr="00910DBA">
        <w:rPr>
          <w:rFonts w:eastAsia="Times New Roman" w:cs="Times New Roman"/>
          <w:szCs w:val="22"/>
        </w:rPr>
        <w:t>Opposite status of equilibrium. It occurs when new stimuli do not fit existing schema.</w:t>
      </w:r>
    </w:p>
    <w:p w14:paraId="161D0DA3"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p>
    <w:p w14:paraId="73A0ECDF"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bookmarkStart w:id="138" w:name="ID12701"/>
      <w:bookmarkStart w:id="139" w:name="ID12702"/>
      <w:bookmarkEnd w:id="138"/>
      <w:bookmarkEnd w:id="139"/>
      <w:r w:rsidRPr="00910DBA">
        <w:rPr>
          <w:rFonts w:eastAsia="Times New Roman" w:cs="Times New Roman"/>
          <w:b/>
          <w:bCs/>
          <w:szCs w:val="22"/>
        </w:rPr>
        <w:t xml:space="preserve">Disposition </w:t>
      </w:r>
      <w:r w:rsidRPr="00910DBA">
        <w:rPr>
          <w:rFonts w:eastAsia="Times New Roman" w:cs="Times New Roman"/>
          <w:szCs w:val="22"/>
        </w:rPr>
        <w:tab/>
      </w:r>
      <w:bookmarkStart w:id="140" w:name="ID12703"/>
      <w:bookmarkEnd w:id="140"/>
      <w:r w:rsidRPr="00910DBA">
        <w:rPr>
          <w:rFonts w:eastAsia="Times New Roman" w:cs="Times New Roman"/>
          <w:szCs w:val="22"/>
        </w:rPr>
        <w:t>An inclination to engage in some types of behavior and not to engage in others.</w:t>
      </w:r>
    </w:p>
    <w:p w14:paraId="7FAC0BDD"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p>
    <w:p w14:paraId="06500A03"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bookmarkStart w:id="141" w:name="ID12704"/>
      <w:bookmarkStart w:id="142" w:name="ID12705"/>
      <w:bookmarkEnd w:id="141"/>
      <w:bookmarkEnd w:id="142"/>
      <w:r w:rsidRPr="00910DBA">
        <w:rPr>
          <w:rFonts w:eastAsia="Times New Roman" w:cs="Times New Roman"/>
          <w:b/>
          <w:bCs/>
          <w:szCs w:val="22"/>
        </w:rPr>
        <w:lastRenderedPageBreak/>
        <w:t xml:space="preserve">Divergent </w:t>
      </w:r>
      <w:r w:rsidRPr="00910DBA">
        <w:rPr>
          <w:rFonts w:eastAsia="Times New Roman" w:cs="Times New Roman"/>
          <w:szCs w:val="22"/>
        </w:rPr>
        <w:tab/>
      </w:r>
      <w:bookmarkStart w:id="143" w:name="ID12706"/>
      <w:bookmarkEnd w:id="143"/>
      <w:r w:rsidRPr="00910DBA">
        <w:rPr>
          <w:rFonts w:eastAsia="Times New Roman" w:cs="Times New Roman"/>
          <w:szCs w:val="22"/>
        </w:rPr>
        <w:t>An inter-display relationship in which the critical attributes of two examples are as different as possible while sharing the same critical attributes (Merrill, 1994).</w:t>
      </w:r>
    </w:p>
    <w:p w14:paraId="479CB7C8"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p>
    <w:p w14:paraId="62435151"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bookmarkStart w:id="144" w:name="ID12707"/>
      <w:bookmarkStart w:id="145" w:name="ID12708"/>
      <w:bookmarkEnd w:id="144"/>
      <w:bookmarkEnd w:id="145"/>
      <w:r w:rsidRPr="00910DBA">
        <w:rPr>
          <w:rFonts w:eastAsia="Times New Roman" w:cs="Times New Roman"/>
          <w:b/>
          <w:bCs/>
          <w:szCs w:val="22"/>
        </w:rPr>
        <w:t>Dual coding theory</w:t>
      </w:r>
      <w:r w:rsidRPr="00910DBA">
        <w:rPr>
          <w:rFonts w:eastAsia="Times New Roman" w:cs="Times New Roman"/>
          <w:szCs w:val="22"/>
        </w:rPr>
        <w:t xml:space="preserve"> </w:t>
      </w:r>
      <w:r w:rsidRPr="00910DBA">
        <w:rPr>
          <w:rFonts w:eastAsia="Times New Roman" w:cs="Times New Roman"/>
          <w:szCs w:val="22"/>
        </w:rPr>
        <w:tab/>
      </w:r>
      <w:bookmarkStart w:id="146" w:name="ID12709"/>
      <w:bookmarkEnd w:id="146"/>
      <w:r w:rsidRPr="00910DBA">
        <w:rPr>
          <w:rFonts w:eastAsia="Times New Roman" w:cs="Times New Roman"/>
          <w:szCs w:val="22"/>
        </w:rPr>
        <w:t>A theory that holds that the brain processes visual and verbal information separately using two distinct mental channels, producing separate mental representations for the two types of information (</w:t>
      </w:r>
      <w:proofErr w:type="spellStart"/>
      <w:r w:rsidRPr="00910DBA">
        <w:rPr>
          <w:rFonts w:eastAsia="Times New Roman" w:cs="Times New Roman"/>
          <w:szCs w:val="22"/>
        </w:rPr>
        <w:t>Paivio</w:t>
      </w:r>
      <w:proofErr w:type="spellEnd"/>
      <w:r w:rsidRPr="00910DBA">
        <w:rPr>
          <w:rFonts w:eastAsia="Times New Roman" w:cs="Times New Roman"/>
          <w:szCs w:val="22"/>
        </w:rPr>
        <w:t>, 1969, 1971, 1986, 1991).</w:t>
      </w:r>
    </w:p>
    <w:p w14:paraId="4B936C36"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p>
    <w:p w14:paraId="71AB4103"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bookmarkStart w:id="147" w:name="ID12710"/>
      <w:bookmarkStart w:id="148" w:name="ID12711"/>
      <w:bookmarkEnd w:id="147"/>
      <w:bookmarkEnd w:id="148"/>
      <w:r w:rsidRPr="00910DBA">
        <w:rPr>
          <w:rFonts w:eastAsia="Times New Roman" w:cs="Times New Roman"/>
          <w:b/>
          <w:bCs/>
          <w:szCs w:val="22"/>
        </w:rPr>
        <w:t>Effect size</w:t>
      </w:r>
      <w:r w:rsidRPr="00910DBA">
        <w:rPr>
          <w:rFonts w:eastAsia="Times New Roman" w:cs="Times New Roman"/>
          <w:szCs w:val="22"/>
        </w:rPr>
        <w:t xml:space="preserve"> </w:t>
      </w:r>
      <w:r w:rsidRPr="00910DBA">
        <w:rPr>
          <w:rFonts w:eastAsia="Times New Roman" w:cs="Times New Roman"/>
          <w:szCs w:val="22"/>
        </w:rPr>
        <w:tab/>
      </w:r>
      <w:bookmarkStart w:id="149" w:name="ID12712"/>
      <w:bookmarkEnd w:id="149"/>
      <w:r w:rsidRPr="00910DBA">
        <w:rPr>
          <w:rFonts w:eastAsia="Times New Roman" w:cs="Times New Roman"/>
          <w:szCs w:val="22"/>
        </w:rPr>
        <w:t>Refers to a statistical means of looking at the significance of differences in student achievement scores between a control and an experimental group.</w:t>
      </w:r>
    </w:p>
    <w:p w14:paraId="51E9F16C"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p>
    <w:p w14:paraId="16DF9447"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bookmarkStart w:id="150" w:name="ID12713"/>
      <w:bookmarkStart w:id="151" w:name="ID12714"/>
      <w:bookmarkEnd w:id="150"/>
      <w:bookmarkEnd w:id="151"/>
      <w:r w:rsidRPr="00910DBA">
        <w:rPr>
          <w:rFonts w:eastAsia="Times New Roman" w:cs="Times New Roman"/>
          <w:b/>
          <w:bCs/>
          <w:szCs w:val="22"/>
        </w:rPr>
        <w:t>Elaborate</w:t>
      </w:r>
      <w:r w:rsidRPr="00910DBA">
        <w:rPr>
          <w:rFonts w:eastAsia="Times New Roman" w:cs="Times New Roman"/>
          <w:szCs w:val="22"/>
        </w:rPr>
        <w:t xml:space="preserve"> </w:t>
      </w:r>
      <w:r w:rsidRPr="00910DBA">
        <w:rPr>
          <w:rFonts w:eastAsia="Times New Roman" w:cs="Times New Roman"/>
          <w:szCs w:val="22"/>
        </w:rPr>
        <w:tab/>
      </w:r>
      <w:bookmarkStart w:id="152" w:name="ID12715"/>
      <w:bookmarkEnd w:id="152"/>
      <w:r w:rsidRPr="00910DBA">
        <w:rPr>
          <w:rFonts w:eastAsia="Times New Roman" w:cs="Times New Roman"/>
          <w:szCs w:val="22"/>
        </w:rPr>
        <w:t>To encode information and connect it to prior knowledge and experiences by adding details, explanations, examples, or other relevant information from prior knowledge.</w:t>
      </w:r>
    </w:p>
    <w:p w14:paraId="1A482BAE"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p>
    <w:p w14:paraId="5DC07B6A"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bookmarkStart w:id="153" w:name="ID12716"/>
      <w:bookmarkStart w:id="154" w:name="ID12717"/>
      <w:bookmarkEnd w:id="153"/>
      <w:bookmarkEnd w:id="154"/>
      <w:r w:rsidRPr="00910DBA">
        <w:rPr>
          <w:rFonts w:eastAsia="Times New Roman" w:cs="Times New Roman"/>
          <w:b/>
          <w:bCs/>
          <w:szCs w:val="22"/>
        </w:rPr>
        <w:t xml:space="preserve">eLearning </w:t>
      </w:r>
      <w:r w:rsidRPr="00910DBA">
        <w:rPr>
          <w:rFonts w:eastAsia="Times New Roman" w:cs="Times New Roman"/>
          <w:szCs w:val="22"/>
        </w:rPr>
        <w:tab/>
      </w:r>
      <w:bookmarkStart w:id="155" w:name="ID12718"/>
      <w:bookmarkEnd w:id="155"/>
      <w:r w:rsidRPr="00910DBA">
        <w:rPr>
          <w:rFonts w:eastAsia="Times New Roman" w:cs="Times New Roman"/>
          <w:szCs w:val="22"/>
        </w:rPr>
        <w:t xml:space="preserve">Also </w:t>
      </w:r>
      <w:proofErr w:type="spellStart"/>
      <w:r w:rsidRPr="00910DBA">
        <w:rPr>
          <w:rFonts w:eastAsia="Times New Roman" w:cs="Times New Roman"/>
          <w:szCs w:val="22"/>
        </w:rPr>
        <w:t>ELearning</w:t>
      </w:r>
      <w:proofErr w:type="spellEnd"/>
      <w:r w:rsidRPr="00910DBA">
        <w:rPr>
          <w:rFonts w:eastAsia="Times New Roman" w:cs="Times New Roman"/>
          <w:szCs w:val="22"/>
        </w:rPr>
        <w:t>, E-Learning, and e-Learning. This term refers to “instruction delivered on a computer by way of CD-ROM, Internet, or intranet” (Clark &amp; Mayer, 2003, p. 13), or to “the use of Internet technologies to deliver a broad array of solutions that enhance knowledge and performance” (Rosenberg, 2000, p. 28).</w:t>
      </w:r>
    </w:p>
    <w:p w14:paraId="3C4B7D1B"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p>
    <w:p w14:paraId="370B485B"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bookmarkStart w:id="156" w:name="ID12719"/>
      <w:bookmarkStart w:id="157" w:name="ID12720"/>
      <w:bookmarkEnd w:id="156"/>
      <w:bookmarkEnd w:id="157"/>
      <w:r w:rsidRPr="00910DBA">
        <w:rPr>
          <w:rFonts w:eastAsia="Times New Roman" w:cs="Times New Roman"/>
          <w:b/>
          <w:bCs/>
          <w:szCs w:val="22"/>
        </w:rPr>
        <w:t>Electronic Performance Support System (EPSS)</w:t>
      </w:r>
      <w:r w:rsidRPr="00910DBA">
        <w:rPr>
          <w:rFonts w:eastAsia="Times New Roman" w:cs="Times New Roman"/>
          <w:szCs w:val="22"/>
        </w:rPr>
        <w:t xml:space="preserve"> A computer software program or a component of a larger system </w:t>
      </w:r>
      <w:bookmarkStart w:id="158" w:name="ID12721"/>
      <w:bookmarkEnd w:id="158"/>
      <w:r w:rsidRPr="00910DBA">
        <w:rPr>
          <w:rFonts w:eastAsia="Times New Roman" w:cs="Times New Roman"/>
          <w:szCs w:val="22"/>
        </w:rPr>
        <w:t>that supports users and helps improve their performance by providing point-of-need information, tutorials, guidance, and job aids (Lewis &amp; Whitlock, 2003). Also, a combination of hardware and software components which provides an “</w:t>
      </w:r>
      <w:proofErr w:type="spellStart"/>
      <w:r w:rsidRPr="00910DBA">
        <w:rPr>
          <w:rFonts w:eastAsia="Times New Roman" w:cs="Times New Roman"/>
          <w:szCs w:val="22"/>
        </w:rPr>
        <w:t>infobase</w:t>
      </w:r>
      <w:proofErr w:type="spellEnd"/>
      <w:r w:rsidRPr="00910DBA">
        <w:rPr>
          <w:rFonts w:eastAsia="Times New Roman" w:cs="Times New Roman"/>
          <w:szCs w:val="22"/>
        </w:rPr>
        <w:t>,” expert system, job aids and tools and other elements to support performance of tasks (Seels &amp; Richey, 1994).</w:t>
      </w:r>
    </w:p>
    <w:p w14:paraId="46E392D7"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p>
    <w:p w14:paraId="23851C65"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bookmarkStart w:id="159" w:name="ID12722"/>
      <w:bookmarkStart w:id="160" w:name="ID12723"/>
      <w:bookmarkEnd w:id="159"/>
      <w:bookmarkEnd w:id="160"/>
      <w:r w:rsidRPr="00910DBA">
        <w:rPr>
          <w:rFonts w:eastAsia="Times New Roman" w:cs="Times New Roman"/>
          <w:b/>
          <w:bCs/>
          <w:szCs w:val="22"/>
        </w:rPr>
        <w:t xml:space="preserve">Encode </w:t>
      </w:r>
      <w:r w:rsidRPr="00910DBA">
        <w:rPr>
          <w:rFonts w:eastAsia="Times New Roman" w:cs="Times New Roman"/>
          <w:szCs w:val="22"/>
        </w:rPr>
        <w:tab/>
      </w:r>
      <w:bookmarkStart w:id="161" w:name="ID12724"/>
      <w:bookmarkEnd w:id="161"/>
      <w:r w:rsidRPr="00910DBA">
        <w:rPr>
          <w:rFonts w:eastAsia="Times New Roman" w:cs="Times New Roman"/>
          <w:szCs w:val="22"/>
        </w:rPr>
        <w:t>To store information in long-term memory.</w:t>
      </w:r>
    </w:p>
    <w:p w14:paraId="449F23CF"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p>
    <w:p w14:paraId="282DA33A"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bookmarkStart w:id="162" w:name="ID12725"/>
      <w:bookmarkStart w:id="163" w:name="ID12726"/>
      <w:bookmarkEnd w:id="162"/>
      <w:bookmarkEnd w:id="163"/>
      <w:r w:rsidRPr="00910DBA">
        <w:rPr>
          <w:rFonts w:eastAsia="Times New Roman" w:cs="Times New Roman"/>
          <w:b/>
          <w:bCs/>
          <w:szCs w:val="22"/>
        </w:rPr>
        <w:t>Entry skills</w:t>
      </w:r>
      <w:r w:rsidRPr="00910DBA">
        <w:rPr>
          <w:rFonts w:eastAsia="Times New Roman" w:cs="Times New Roman"/>
          <w:szCs w:val="22"/>
        </w:rPr>
        <w:t xml:space="preserve"> </w:t>
      </w:r>
      <w:r w:rsidRPr="00910DBA">
        <w:rPr>
          <w:rFonts w:eastAsia="Times New Roman" w:cs="Times New Roman"/>
          <w:szCs w:val="22"/>
        </w:rPr>
        <w:tab/>
      </w:r>
      <w:bookmarkStart w:id="164" w:name="ID12727"/>
      <w:bookmarkEnd w:id="164"/>
      <w:r w:rsidRPr="00910DBA">
        <w:rPr>
          <w:rFonts w:eastAsia="Times New Roman" w:cs="Times New Roman"/>
          <w:szCs w:val="22"/>
        </w:rPr>
        <w:t>Specific competencies or skills a learner must have mastered before entering a given instructional activity (Dick et al., 2014).</w:t>
      </w:r>
    </w:p>
    <w:p w14:paraId="79DBB88A"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p>
    <w:p w14:paraId="7D43897B"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bookmarkStart w:id="165" w:name="ID12728"/>
      <w:bookmarkStart w:id="166" w:name="ID12729"/>
      <w:bookmarkEnd w:id="165"/>
      <w:bookmarkEnd w:id="166"/>
      <w:r w:rsidRPr="00910DBA">
        <w:rPr>
          <w:rFonts w:eastAsia="Times New Roman" w:cs="Times New Roman"/>
          <w:b/>
          <w:bCs/>
          <w:szCs w:val="22"/>
        </w:rPr>
        <w:t xml:space="preserve">EPSS </w:t>
      </w:r>
      <w:r w:rsidRPr="00910DBA">
        <w:rPr>
          <w:rFonts w:eastAsia="Times New Roman" w:cs="Times New Roman"/>
          <w:szCs w:val="22"/>
        </w:rPr>
        <w:tab/>
      </w:r>
      <w:bookmarkStart w:id="167" w:name="ID12730"/>
      <w:bookmarkEnd w:id="167"/>
      <w:r w:rsidRPr="00910DBA">
        <w:rPr>
          <w:rFonts w:eastAsia="Times New Roman" w:cs="Times New Roman"/>
          <w:szCs w:val="22"/>
        </w:rPr>
        <w:t>See Electronic Performance Support System.</w:t>
      </w:r>
    </w:p>
    <w:p w14:paraId="22FE1D8F"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p>
    <w:p w14:paraId="09C0C3C1"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bookmarkStart w:id="168" w:name="ID12731"/>
      <w:bookmarkStart w:id="169" w:name="ID12732"/>
      <w:bookmarkEnd w:id="168"/>
      <w:bookmarkEnd w:id="169"/>
      <w:r w:rsidRPr="00910DBA">
        <w:rPr>
          <w:rFonts w:eastAsia="Times New Roman" w:cs="Times New Roman"/>
          <w:b/>
          <w:bCs/>
          <w:szCs w:val="22"/>
        </w:rPr>
        <w:t xml:space="preserve">Equilibrium </w:t>
      </w:r>
      <w:r w:rsidRPr="00910DBA">
        <w:rPr>
          <w:rFonts w:eastAsia="Times New Roman" w:cs="Times New Roman"/>
          <w:szCs w:val="22"/>
        </w:rPr>
        <w:tab/>
      </w:r>
      <w:bookmarkStart w:id="170" w:name="ID12733"/>
      <w:bookmarkEnd w:id="170"/>
      <w:r w:rsidRPr="00910DBA">
        <w:rPr>
          <w:rFonts w:eastAsia="Times New Roman" w:cs="Times New Roman"/>
          <w:szCs w:val="22"/>
        </w:rPr>
        <w:t xml:space="preserve">The mental state of </w:t>
      </w:r>
      <w:proofErr w:type="gramStart"/>
      <w:r w:rsidRPr="00910DBA">
        <w:rPr>
          <w:rFonts w:eastAsia="Times New Roman" w:cs="Times New Roman"/>
          <w:szCs w:val="22"/>
        </w:rPr>
        <w:t>balance that</w:t>
      </w:r>
      <w:proofErr w:type="gramEnd"/>
      <w:r w:rsidRPr="00910DBA">
        <w:rPr>
          <w:rFonts w:eastAsia="Times New Roman" w:cs="Times New Roman"/>
          <w:szCs w:val="22"/>
        </w:rPr>
        <w:t xml:space="preserve"> indicates that new knowledge aligns well with previous knowledge. When new information does not align with the learner’s existing schema, the learner must use </w:t>
      </w:r>
      <w:bookmarkStart w:id="171" w:name="ID12734"/>
      <w:bookmarkEnd w:id="171"/>
      <w:r w:rsidRPr="00910DBA">
        <w:rPr>
          <w:rFonts w:eastAsia="Times New Roman" w:cs="Times New Roman"/>
          <w:i/>
          <w:iCs/>
          <w:szCs w:val="22"/>
        </w:rPr>
        <w:t>assimilation</w:t>
      </w:r>
      <w:r w:rsidRPr="00910DBA">
        <w:rPr>
          <w:rFonts w:eastAsia="Times New Roman" w:cs="Times New Roman"/>
          <w:szCs w:val="22"/>
        </w:rPr>
        <w:t xml:space="preserve"> or </w:t>
      </w:r>
      <w:bookmarkStart w:id="172" w:name="ID12735"/>
      <w:bookmarkEnd w:id="172"/>
      <w:r w:rsidRPr="00910DBA">
        <w:rPr>
          <w:rFonts w:eastAsia="Times New Roman" w:cs="Times New Roman"/>
          <w:i/>
          <w:iCs/>
          <w:szCs w:val="22"/>
        </w:rPr>
        <w:t>accommodation</w:t>
      </w:r>
      <w:r w:rsidRPr="00910DBA">
        <w:rPr>
          <w:rFonts w:eastAsia="Times New Roman" w:cs="Times New Roman"/>
          <w:szCs w:val="22"/>
        </w:rPr>
        <w:t xml:space="preserve"> to regain equilibrium (Driscoll, 2004).</w:t>
      </w:r>
    </w:p>
    <w:p w14:paraId="43227D8F"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p>
    <w:p w14:paraId="1D37A481"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bookmarkStart w:id="173" w:name="ID12736"/>
      <w:bookmarkStart w:id="174" w:name="ID12737"/>
      <w:bookmarkEnd w:id="173"/>
      <w:bookmarkEnd w:id="174"/>
      <w:r w:rsidRPr="00910DBA">
        <w:rPr>
          <w:rFonts w:eastAsia="Times New Roman" w:cs="Times New Roman"/>
          <w:b/>
          <w:bCs/>
          <w:szCs w:val="22"/>
        </w:rPr>
        <w:t>Evaluating skills</w:t>
      </w:r>
      <w:r w:rsidRPr="00910DBA">
        <w:rPr>
          <w:rFonts w:eastAsia="Times New Roman" w:cs="Times New Roman"/>
          <w:szCs w:val="22"/>
        </w:rPr>
        <w:t xml:space="preserve"> </w:t>
      </w:r>
      <w:r w:rsidRPr="00910DBA">
        <w:rPr>
          <w:rFonts w:eastAsia="Times New Roman" w:cs="Times New Roman"/>
          <w:szCs w:val="22"/>
        </w:rPr>
        <w:tab/>
      </w:r>
      <w:bookmarkStart w:id="175" w:name="ID12738"/>
      <w:bookmarkEnd w:id="175"/>
      <w:r w:rsidRPr="00910DBA">
        <w:rPr>
          <w:rFonts w:eastAsia="Times New Roman" w:cs="Times New Roman"/>
          <w:szCs w:val="22"/>
        </w:rPr>
        <w:t>Core thinking skills that involve assessing the worth, value and/or reasonableness and quality of ideas or objects.</w:t>
      </w:r>
    </w:p>
    <w:p w14:paraId="7AAE9C43"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p>
    <w:p w14:paraId="17ADA769"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bookmarkStart w:id="176" w:name="ID12739"/>
      <w:bookmarkStart w:id="177" w:name="ID12740"/>
      <w:bookmarkEnd w:id="176"/>
      <w:bookmarkEnd w:id="177"/>
      <w:r w:rsidRPr="00910DBA">
        <w:rPr>
          <w:rFonts w:eastAsia="Times New Roman" w:cs="Times New Roman"/>
          <w:b/>
          <w:bCs/>
          <w:szCs w:val="22"/>
        </w:rPr>
        <w:t xml:space="preserve">Evaluation </w:t>
      </w:r>
      <w:r w:rsidRPr="00910DBA">
        <w:rPr>
          <w:rFonts w:eastAsia="Times New Roman" w:cs="Times New Roman"/>
          <w:szCs w:val="22"/>
        </w:rPr>
        <w:tab/>
      </w:r>
      <w:bookmarkStart w:id="178" w:name="ID12741"/>
      <w:bookmarkEnd w:id="178"/>
      <w:r w:rsidRPr="00910DBA">
        <w:rPr>
          <w:rFonts w:eastAsia="Times New Roman" w:cs="Times New Roman"/>
          <w:szCs w:val="22"/>
        </w:rPr>
        <w:t xml:space="preserve">A systematic, </w:t>
      </w:r>
      <w:proofErr w:type="gramStart"/>
      <w:r w:rsidRPr="00910DBA">
        <w:rPr>
          <w:rFonts w:eastAsia="Times New Roman" w:cs="Times New Roman"/>
          <w:szCs w:val="22"/>
        </w:rPr>
        <w:t>planned</w:t>
      </w:r>
      <w:proofErr w:type="gramEnd"/>
      <w:r w:rsidRPr="00910DBA">
        <w:rPr>
          <w:rFonts w:eastAsia="Times New Roman" w:cs="Times New Roman"/>
          <w:szCs w:val="22"/>
        </w:rPr>
        <w:t xml:space="preserve"> and purposeful activity of judging the merit, worth, value or effectiveness of an instructional program or product, for the purpose of enhancing knowledge and decision making (Lewis &amp; Whitlock, 2003; Russ-Eft &amp; </w:t>
      </w:r>
      <w:proofErr w:type="spellStart"/>
      <w:r w:rsidRPr="00910DBA">
        <w:rPr>
          <w:rFonts w:eastAsia="Times New Roman" w:cs="Times New Roman"/>
          <w:szCs w:val="22"/>
        </w:rPr>
        <w:t>Preskill</w:t>
      </w:r>
      <w:proofErr w:type="spellEnd"/>
      <w:r w:rsidRPr="00910DBA">
        <w:rPr>
          <w:rFonts w:eastAsia="Times New Roman" w:cs="Times New Roman"/>
          <w:szCs w:val="22"/>
        </w:rPr>
        <w:t>, 2001).</w:t>
      </w:r>
    </w:p>
    <w:p w14:paraId="7BFC1E5D"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p>
    <w:p w14:paraId="1225D0F8"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bookmarkStart w:id="179" w:name="ID12742"/>
      <w:bookmarkStart w:id="180" w:name="ID12743"/>
      <w:bookmarkEnd w:id="179"/>
      <w:bookmarkEnd w:id="180"/>
      <w:r w:rsidRPr="00910DBA">
        <w:rPr>
          <w:rFonts w:eastAsia="Times New Roman" w:cs="Times New Roman"/>
          <w:b/>
          <w:bCs/>
          <w:szCs w:val="22"/>
        </w:rPr>
        <w:lastRenderedPageBreak/>
        <w:t>Executive control</w:t>
      </w:r>
      <w:r w:rsidRPr="00910DBA">
        <w:rPr>
          <w:rFonts w:eastAsia="Times New Roman" w:cs="Times New Roman"/>
          <w:szCs w:val="22"/>
        </w:rPr>
        <w:t xml:space="preserve"> </w:t>
      </w:r>
      <w:r w:rsidRPr="00910DBA">
        <w:rPr>
          <w:rFonts w:eastAsia="Times New Roman" w:cs="Times New Roman"/>
          <w:szCs w:val="22"/>
        </w:rPr>
        <w:tab/>
      </w:r>
      <w:bookmarkStart w:id="181" w:name="ID12744"/>
      <w:bookmarkEnd w:id="181"/>
      <w:r w:rsidRPr="00910DBA">
        <w:rPr>
          <w:rFonts w:eastAsia="Times New Roman" w:cs="Times New Roman"/>
          <w:szCs w:val="22"/>
        </w:rPr>
        <w:t>Evaluating, planning, and regulating the declarative, procedural, and conditional information involved in a task.</w:t>
      </w:r>
    </w:p>
    <w:p w14:paraId="4FCE853F"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p>
    <w:p w14:paraId="40DAA2D8"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bookmarkStart w:id="182" w:name="ID12745"/>
      <w:bookmarkStart w:id="183" w:name="ID12746"/>
      <w:bookmarkEnd w:id="182"/>
      <w:bookmarkEnd w:id="183"/>
      <w:r w:rsidRPr="00910DBA">
        <w:rPr>
          <w:rFonts w:eastAsia="Times New Roman" w:cs="Times New Roman"/>
          <w:b/>
          <w:bCs/>
          <w:szCs w:val="22"/>
        </w:rPr>
        <w:t xml:space="preserve">Exemplifying </w:t>
      </w:r>
      <w:r w:rsidRPr="00910DBA">
        <w:rPr>
          <w:rFonts w:eastAsia="Times New Roman" w:cs="Times New Roman"/>
          <w:szCs w:val="22"/>
        </w:rPr>
        <w:tab/>
      </w:r>
      <w:bookmarkStart w:id="184" w:name="ID12747"/>
      <w:bookmarkEnd w:id="184"/>
      <w:r w:rsidRPr="00910DBA">
        <w:rPr>
          <w:rFonts w:eastAsia="Times New Roman" w:cs="Times New Roman"/>
          <w:szCs w:val="22"/>
        </w:rPr>
        <w:t>A situation in which the student tries to find in memory a previously-learned instance of the information (Merrill, 1994).</w:t>
      </w:r>
    </w:p>
    <w:p w14:paraId="1EA613F5"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p>
    <w:p w14:paraId="64586F86"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bookmarkStart w:id="185" w:name="ID12748"/>
      <w:bookmarkStart w:id="186" w:name="ID12749"/>
      <w:bookmarkEnd w:id="185"/>
      <w:bookmarkEnd w:id="186"/>
      <w:r w:rsidRPr="00910DBA">
        <w:rPr>
          <w:rFonts w:eastAsia="Times New Roman" w:cs="Times New Roman"/>
          <w:szCs w:val="22"/>
        </w:rPr>
        <w:t xml:space="preserve"> </w:t>
      </w:r>
      <w:r w:rsidRPr="00910DBA">
        <w:rPr>
          <w:rFonts w:eastAsia="Times New Roman" w:cs="Times New Roman"/>
          <w:b/>
          <w:bCs/>
          <w:szCs w:val="22"/>
        </w:rPr>
        <w:t xml:space="preserve">Feedback </w:t>
      </w:r>
      <w:r w:rsidRPr="00910DBA">
        <w:rPr>
          <w:rFonts w:eastAsia="Times New Roman" w:cs="Times New Roman"/>
          <w:szCs w:val="22"/>
        </w:rPr>
        <w:tab/>
      </w:r>
      <w:bookmarkStart w:id="187" w:name="ID12750"/>
      <w:bookmarkEnd w:id="187"/>
      <w:r w:rsidRPr="00910DBA">
        <w:rPr>
          <w:rFonts w:eastAsia="Times New Roman" w:cs="Times New Roman"/>
          <w:szCs w:val="22"/>
        </w:rPr>
        <w:t xml:space="preserve">Information provided to learners about the correctness of their responses to practice questions in the instruction (Dick et al., 2014). A secondary presentation </w:t>
      </w:r>
      <w:proofErr w:type="gramStart"/>
      <w:r w:rsidRPr="00910DBA">
        <w:rPr>
          <w:rFonts w:eastAsia="Times New Roman" w:cs="Times New Roman"/>
          <w:szCs w:val="22"/>
        </w:rPr>
        <w:t>consisting</w:t>
      </w:r>
      <w:proofErr w:type="gramEnd"/>
      <w:r w:rsidRPr="00910DBA">
        <w:rPr>
          <w:rFonts w:eastAsia="Times New Roman" w:cs="Times New Roman"/>
          <w:szCs w:val="22"/>
        </w:rPr>
        <w:t xml:space="preserve"> information about the nature of the student’s response; the response may include the correct answer to the question (Merrill, 1994).</w:t>
      </w:r>
    </w:p>
    <w:p w14:paraId="2FBB597F"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p>
    <w:p w14:paraId="4165339B"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bookmarkStart w:id="188" w:name="ID12751"/>
      <w:bookmarkStart w:id="189" w:name="ID12752"/>
      <w:bookmarkEnd w:id="188"/>
      <w:bookmarkEnd w:id="189"/>
      <w:r w:rsidRPr="00910DBA">
        <w:rPr>
          <w:rFonts w:eastAsia="Times New Roman" w:cs="Times New Roman"/>
          <w:b/>
          <w:bCs/>
          <w:szCs w:val="22"/>
        </w:rPr>
        <w:t>Figure/ground perception</w:t>
      </w:r>
      <w:r w:rsidRPr="00910DBA">
        <w:rPr>
          <w:rFonts w:eastAsia="Times New Roman" w:cs="Times New Roman"/>
          <w:szCs w:val="22"/>
        </w:rPr>
        <w:t xml:space="preserve"> The ability of the viewer to distinguish an object from its surrounding background (Rubin, 1921).</w:t>
      </w:r>
    </w:p>
    <w:p w14:paraId="62798C4F"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p>
    <w:p w14:paraId="6C08AC15"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r w:rsidRPr="00910DBA">
        <w:rPr>
          <w:rFonts w:eastAsia="Times New Roman" w:cs="Times New Roman"/>
          <w:b/>
          <w:bCs/>
          <w:szCs w:val="22"/>
        </w:rPr>
        <w:t>Fishbowl strategy</w:t>
      </w:r>
      <w:r w:rsidRPr="00910DBA">
        <w:rPr>
          <w:rFonts w:eastAsia="Times New Roman" w:cs="Times New Roman"/>
          <w:szCs w:val="22"/>
        </w:rPr>
        <w:t xml:space="preserve"> </w:t>
      </w:r>
      <w:r w:rsidRPr="00910DBA">
        <w:rPr>
          <w:rFonts w:eastAsia="Times New Roman" w:cs="Times New Roman"/>
          <w:szCs w:val="22"/>
        </w:rPr>
        <w:tab/>
      </w:r>
      <w:bookmarkStart w:id="190" w:name="ID12753"/>
      <w:bookmarkEnd w:id="190"/>
      <w:r w:rsidRPr="00910DBA">
        <w:rPr>
          <w:rFonts w:eastAsia="Times New Roman" w:cs="Times New Roman"/>
          <w:szCs w:val="22"/>
        </w:rPr>
        <w:t xml:space="preserve">A teaching strategy that helps learners practice contributing and listening in a discussion. Learners sit in two concentric circles; those in the inner circle carry on a discussion and those in the outer circle observe the process. After a while, those in the outer circle move to the inner circle and vice versa, or the facilitator can call upon inner circle participants who have made substantive contributions to the discussion and allow them to select their replacement from </w:t>
      </w:r>
      <w:r w:rsidRPr="00910DBA">
        <w:rPr>
          <w:rFonts w:ascii="MS Gothic" w:eastAsia="MS Gothic" w:hAnsi="MS Gothic" w:cs="MS Gothic" w:hint="eastAsia"/>
          <w:szCs w:val="22"/>
        </w:rPr>
        <w:t> </w:t>
      </w:r>
      <w:r w:rsidRPr="00910DBA">
        <w:rPr>
          <w:rFonts w:eastAsia="Times New Roman" w:cs="Times New Roman"/>
          <w:szCs w:val="22"/>
        </w:rPr>
        <w:t>the outer circle. When used to discuss an assigned reading selection, this strategy also encourages learners to complete those readings. Questions can be supplied with the readings, learners can be asked to bring questions to ask others in the fishbowl, or the facilitator can broach questions at the beginning of the discussion.</w:t>
      </w:r>
    </w:p>
    <w:p w14:paraId="23BE855C"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p>
    <w:p w14:paraId="5F0EEB45"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bookmarkStart w:id="191" w:name="ID12754"/>
      <w:bookmarkStart w:id="192" w:name="ID12755"/>
      <w:bookmarkEnd w:id="191"/>
      <w:bookmarkEnd w:id="192"/>
      <w:r w:rsidRPr="00910DBA">
        <w:rPr>
          <w:rFonts w:eastAsia="Times New Roman" w:cs="Times New Roman"/>
          <w:b/>
          <w:bCs/>
          <w:szCs w:val="22"/>
        </w:rPr>
        <w:t>Flipped classroom</w:t>
      </w:r>
      <w:r w:rsidRPr="00910DBA">
        <w:rPr>
          <w:rFonts w:eastAsia="Times New Roman" w:cs="Times New Roman"/>
          <w:szCs w:val="22"/>
        </w:rPr>
        <w:t xml:space="preserve"> </w:t>
      </w:r>
      <w:r w:rsidRPr="00910DBA">
        <w:rPr>
          <w:rFonts w:eastAsia="Times New Roman" w:cs="Times New Roman"/>
          <w:szCs w:val="22"/>
        </w:rPr>
        <w:tab/>
      </w:r>
      <w:bookmarkStart w:id="193" w:name="ID12756"/>
      <w:bookmarkEnd w:id="193"/>
      <w:r w:rsidRPr="00910DBA">
        <w:rPr>
          <w:rFonts w:eastAsia="Times New Roman" w:cs="Times New Roman"/>
          <w:szCs w:val="22"/>
        </w:rPr>
        <w:t>A delivery approach in which the information- transmission component of a traditional face-to-face lecture (hereafter referred to as the “traditional lecture”) is moved out of class time. In its place are active, collaborative tasks. Students prepare for class by engaging with resources that cover what would have been in a traditional lecture (Abeysekera &amp; Dawson, 2015).</w:t>
      </w:r>
    </w:p>
    <w:p w14:paraId="5A648F88"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p>
    <w:p w14:paraId="5EE32999"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bookmarkStart w:id="194" w:name="ID12757"/>
      <w:bookmarkStart w:id="195" w:name="ID12758"/>
      <w:bookmarkEnd w:id="194"/>
      <w:bookmarkEnd w:id="195"/>
      <w:r w:rsidRPr="00910DBA">
        <w:rPr>
          <w:rFonts w:eastAsia="Times New Roman" w:cs="Times New Roman"/>
          <w:b/>
          <w:bCs/>
          <w:szCs w:val="22"/>
        </w:rPr>
        <w:t>Front-end analysis</w:t>
      </w:r>
      <w:r w:rsidRPr="00910DBA">
        <w:rPr>
          <w:rFonts w:eastAsia="Times New Roman" w:cs="Times New Roman"/>
          <w:szCs w:val="22"/>
        </w:rPr>
        <w:t xml:space="preserve"> </w:t>
      </w:r>
      <w:r w:rsidRPr="00910DBA">
        <w:rPr>
          <w:rFonts w:eastAsia="Times New Roman" w:cs="Times New Roman"/>
          <w:szCs w:val="22"/>
        </w:rPr>
        <w:tab/>
      </w:r>
      <w:bookmarkStart w:id="196" w:name="ID12759"/>
      <w:bookmarkEnd w:id="196"/>
      <w:r w:rsidRPr="00910DBA">
        <w:rPr>
          <w:rFonts w:eastAsia="Times New Roman" w:cs="Times New Roman"/>
          <w:szCs w:val="22"/>
        </w:rPr>
        <w:t>A process used for evaluating instructional needs and identifying alternative approaches to meeting those needs. It includes a variety of activities including, but not limited to, performance analysis, needs assessment, job analysis, training delivery options, and feasibility analysis (Dick et al., 2014).</w:t>
      </w:r>
    </w:p>
    <w:p w14:paraId="4BBFC094"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p>
    <w:p w14:paraId="164BBA1F"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bookmarkStart w:id="197" w:name="ID12760"/>
      <w:bookmarkStart w:id="198" w:name="ID12761"/>
      <w:bookmarkEnd w:id="197"/>
      <w:bookmarkEnd w:id="198"/>
      <w:r w:rsidRPr="00910DBA">
        <w:rPr>
          <w:rFonts w:eastAsia="Times New Roman" w:cs="Times New Roman"/>
          <w:b/>
          <w:bCs/>
          <w:szCs w:val="22"/>
        </w:rPr>
        <w:t>Gap analysis</w:t>
      </w:r>
      <w:r w:rsidRPr="00910DBA">
        <w:rPr>
          <w:rFonts w:eastAsia="Times New Roman" w:cs="Times New Roman"/>
          <w:szCs w:val="22"/>
        </w:rPr>
        <w:t xml:space="preserve"> </w:t>
      </w:r>
      <w:r w:rsidRPr="00910DBA">
        <w:rPr>
          <w:rFonts w:eastAsia="Times New Roman" w:cs="Times New Roman"/>
          <w:szCs w:val="22"/>
        </w:rPr>
        <w:tab/>
        <w:t>The a</w:t>
      </w:r>
      <w:bookmarkStart w:id="199" w:name="ID12762"/>
      <w:bookmarkEnd w:id="199"/>
      <w:r w:rsidRPr="00910DBA">
        <w:rPr>
          <w:rFonts w:eastAsia="Times New Roman" w:cs="Times New Roman"/>
          <w:szCs w:val="22"/>
        </w:rPr>
        <w:t>nalysis of the differences between the existing state and desired performance.</w:t>
      </w:r>
    </w:p>
    <w:p w14:paraId="722FEE42"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p>
    <w:p w14:paraId="33D44041"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bookmarkStart w:id="200" w:name="ID12763"/>
      <w:bookmarkStart w:id="201" w:name="ID12764"/>
      <w:bookmarkEnd w:id="200"/>
      <w:bookmarkEnd w:id="201"/>
      <w:r w:rsidRPr="00910DBA">
        <w:rPr>
          <w:rFonts w:eastAsia="Times New Roman" w:cs="Times New Roman"/>
          <w:b/>
          <w:bCs/>
          <w:szCs w:val="22"/>
        </w:rPr>
        <w:t>Generative AI</w:t>
      </w:r>
      <w:r w:rsidRPr="00910DBA">
        <w:rPr>
          <w:rFonts w:eastAsia="Times New Roman" w:cs="Times New Roman"/>
          <w:szCs w:val="22"/>
        </w:rPr>
        <w:t xml:space="preserve"> </w:t>
      </w:r>
      <w:r w:rsidRPr="00910DBA">
        <w:rPr>
          <w:rFonts w:eastAsia="Times New Roman" w:cs="Times New Roman"/>
          <w:szCs w:val="22"/>
        </w:rPr>
        <w:tab/>
        <w:t xml:space="preserve">Generative AI refers to systems that create new content—such as text, images, audio, or code—by learning patterns from data and producing novel outputs in response to prompts. It focuses on content generation and typically operates within a single interaction or task. </w:t>
      </w:r>
    </w:p>
    <w:p w14:paraId="70B1D534"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b/>
          <w:bCs/>
          <w:szCs w:val="22"/>
        </w:rPr>
      </w:pPr>
    </w:p>
    <w:p w14:paraId="714D12B1"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r w:rsidRPr="00910DBA">
        <w:rPr>
          <w:rFonts w:eastAsia="Times New Roman" w:cs="Times New Roman"/>
          <w:b/>
          <w:bCs/>
          <w:szCs w:val="22"/>
        </w:rPr>
        <w:t>Generative strategies</w:t>
      </w:r>
      <w:r w:rsidRPr="00910DBA">
        <w:rPr>
          <w:rFonts w:eastAsia="Times New Roman" w:cs="Times New Roman"/>
          <w:szCs w:val="22"/>
        </w:rPr>
        <w:t xml:space="preserve"> </w:t>
      </w:r>
      <w:r w:rsidRPr="00910DBA">
        <w:rPr>
          <w:rFonts w:eastAsia="Times New Roman" w:cs="Times New Roman"/>
          <w:szCs w:val="22"/>
        </w:rPr>
        <w:tab/>
        <w:t>Generative s</w:t>
      </w:r>
      <w:bookmarkStart w:id="202" w:name="ID12765"/>
      <w:bookmarkEnd w:id="202"/>
      <w:r w:rsidRPr="00910DBA">
        <w:rPr>
          <w:rFonts w:eastAsia="Times New Roman" w:cs="Times New Roman"/>
          <w:szCs w:val="22"/>
        </w:rPr>
        <w:t xml:space="preserve">trategies are designed to encourage or allow learners to define their own learning goals, organize the material in whatever manner works best for </w:t>
      </w:r>
      <w:r w:rsidRPr="00910DBA">
        <w:rPr>
          <w:rFonts w:eastAsia="Times New Roman" w:cs="Times New Roman"/>
          <w:szCs w:val="22"/>
        </w:rPr>
        <w:lastRenderedPageBreak/>
        <w:t>them, control the sequencing and pace of the instruction, self-monitor their own understanding, and transfer the knowledge to new contexts. In this way, the learners basically “generate” the majority of the processing (thinking) involved in the learning experience (Smith &amp; Ragan, 2005).</w:t>
      </w:r>
    </w:p>
    <w:p w14:paraId="34D2F23C"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p>
    <w:p w14:paraId="1BA3AADC"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bookmarkStart w:id="203" w:name="ID12766"/>
      <w:bookmarkStart w:id="204" w:name="ID12767"/>
      <w:bookmarkEnd w:id="203"/>
      <w:bookmarkEnd w:id="204"/>
      <w:r w:rsidRPr="00910DBA">
        <w:rPr>
          <w:rFonts w:eastAsia="Times New Roman" w:cs="Times New Roman"/>
          <w:b/>
          <w:bCs/>
          <w:szCs w:val="22"/>
        </w:rPr>
        <w:t xml:space="preserve">Gestalt </w:t>
      </w:r>
      <w:r w:rsidRPr="00910DBA">
        <w:rPr>
          <w:rFonts w:eastAsia="Times New Roman" w:cs="Times New Roman"/>
          <w:szCs w:val="22"/>
        </w:rPr>
        <w:tab/>
      </w:r>
      <w:bookmarkStart w:id="205" w:name="ID12768"/>
      <w:bookmarkEnd w:id="205"/>
      <w:r w:rsidRPr="00910DBA">
        <w:rPr>
          <w:rFonts w:eastAsia="Times New Roman" w:cs="Times New Roman"/>
          <w:szCs w:val="22"/>
        </w:rPr>
        <w:t xml:space="preserve">A theory or branch of psychology that proposes that the brain is </w:t>
      </w:r>
      <w:proofErr w:type="gramStart"/>
      <w:r w:rsidRPr="00910DBA">
        <w:rPr>
          <w:rFonts w:eastAsia="Times New Roman" w:cs="Times New Roman"/>
          <w:szCs w:val="22"/>
        </w:rPr>
        <w:t>holistic, and</w:t>
      </w:r>
      <w:proofErr w:type="gramEnd"/>
      <w:r w:rsidRPr="00910DBA">
        <w:rPr>
          <w:rFonts w:eastAsia="Times New Roman" w:cs="Times New Roman"/>
          <w:szCs w:val="22"/>
        </w:rPr>
        <w:t xml:space="preserve"> has self-organizing tendencies that enable it to understand external stimuli as a whole form rather than as parts (Wertheimer, 1923).</w:t>
      </w:r>
    </w:p>
    <w:p w14:paraId="70DE8333"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p>
    <w:p w14:paraId="235C2E18"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bookmarkStart w:id="206" w:name="ID12769"/>
      <w:bookmarkStart w:id="207" w:name="ID12770"/>
      <w:bookmarkEnd w:id="206"/>
      <w:bookmarkEnd w:id="207"/>
      <w:r w:rsidRPr="00910DBA">
        <w:rPr>
          <w:rFonts w:eastAsia="Times New Roman" w:cs="Times New Roman"/>
          <w:b/>
          <w:bCs/>
          <w:szCs w:val="22"/>
        </w:rPr>
        <w:t xml:space="preserve">Goals </w:t>
      </w:r>
      <w:r w:rsidRPr="00910DBA">
        <w:rPr>
          <w:rFonts w:eastAsia="Times New Roman" w:cs="Times New Roman"/>
          <w:szCs w:val="22"/>
        </w:rPr>
        <w:tab/>
      </w:r>
      <w:bookmarkStart w:id="208" w:name="ID12771"/>
      <w:bookmarkEnd w:id="208"/>
      <w:r w:rsidRPr="00910DBA">
        <w:rPr>
          <w:rFonts w:eastAsia="Times New Roman" w:cs="Times New Roman"/>
          <w:szCs w:val="22"/>
        </w:rPr>
        <w:t>Broad statements of instructional intent that establish a direction for learning (Dick et al, 2014; Marzano, 2001)</w:t>
      </w:r>
    </w:p>
    <w:p w14:paraId="22611E38"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p>
    <w:p w14:paraId="02D11979"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bookmarkStart w:id="209" w:name="ID12772"/>
      <w:bookmarkStart w:id="210" w:name="ID12773"/>
      <w:bookmarkEnd w:id="209"/>
      <w:bookmarkEnd w:id="210"/>
      <w:r w:rsidRPr="00910DBA">
        <w:rPr>
          <w:rFonts w:eastAsia="Times New Roman" w:cs="Times New Roman"/>
          <w:b/>
          <w:bCs/>
          <w:szCs w:val="22"/>
        </w:rPr>
        <w:t>Goal analysis</w:t>
      </w:r>
      <w:r w:rsidRPr="00910DBA">
        <w:rPr>
          <w:rFonts w:eastAsia="Times New Roman" w:cs="Times New Roman"/>
          <w:szCs w:val="22"/>
        </w:rPr>
        <w:t xml:space="preserve"> </w:t>
      </w:r>
      <w:r w:rsidRPr="00910DBA">
        <w:rPr>
          <w:rFonts w:eastAsia="Times New Roman" w:cs="Times New Roman"/>
          <w:szCs w:val="22"/>
        </w:rPr>
        <w:tab/>
      </w:r>
      <w:bookmarkStart w:id="211" w:name="ID12774"/>
      <w:bookmarkEnd w:id="211"/>
      <w:r w:rsidRPr="00910DBA">
        <w:rPr>
          <w:rFonts w:eastAsia="Times New Roman" w:cs="Times New Roman"/>
          <w:szCs w:val="22"/>
        </w:rPr>
        <w:t>The technique used to analyze a goal to identify the sequence of operations and decisions required to achieve it (Dick et al., 2014).</w:t>
      </w:r>
    </w:p>
    <w:p w14:paraId="2ACAE33E"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p>
    <w:p w14:paraId="447C826A"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bookmarkStart w:id="212" w:name="ID12775"/>
      <w:bookmarkStart w:id="213" w:name="ID12776"/>
      <w:bookmarkEnd w:id="212"/>
      <w:bookmarkEnd w:id="213"/>
      <w:r w:rsidRPr="00910DBA">
        <w:rPr>
          <w:rFonts w:eastAsia="Times New Roman" w:cs="Times New Roman"/>
          <w:b/>
          <w:bCs/>
          <w:szCs w:val="22"/>
        </w:rPr>
        <w:t>Goal-based scenarios</w:t>
      </w:r>
      <w:r w:rsidRPr="00910DBA">
        <w:rPr>
          <w:rFonts w:eastAsia="Times New Roman" w:cs="Times New Roman"/>
          <w:szCs w:val="22"/>
        </w:rPr>
        <w:t xml:space="preserve"> </w:t>
      </w:r>
      <w:r w:rsidRPr="00910DBA">
        <w:rPr>
          <w:rFonts w:eastAsia="Times New Roman" w:cs="Times New Roman"/>
          <w:szCs w:val="22"/>
        </w:rPr>
        <w:tab/>
      </w:r>
      <w:bookmarkStart w:id="214" w:name="ID12777"/>
      <w:bookmarkEnd w:id="214"/>
      <w:r w:rsidRPr="00910DBA">
        <w:rPr>
          <w:rFonts w:eastAsia="Times New Roman" w:cs="Times New Roman"/>
          <w:szCs w:val="22"/>
        </w:rPr>
        <w:t>A structured learning program used in physical and virtual environments that provides a simulation or scenario to motivate learners to engage and develop skills rather than memorize facts (Schank, 1996).</w:t>
      </w:r>
    </w:p>
    <w:p w14:paraId="77A3F286"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p>
    <w:p w14:paraId="679BEC99"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bookmarkStart w:id="215" w:name="ID12778"/>
      <w:bookmarkStart w:id="216" w:name="ID12779"/>
      <w:bookmarkEnd w:id="215"/>
      <w:bookmarkEnd w:id="216"/>
      <w:r w:rsidRPr="00910DBA">
        <w:rPr>
          <w:rFonts w:eastAsia="Times New Roman" w:cs="Times New Roman"/>
          <w:b/>
          <w:bCs/>
          <w:szCs w:val="22"/>
        </w:rPr>
        <w:t xml:space="preserve">Granularity </w:t>
      </w:r>
      <w:r w:rsidRPr="00910DBA">
        <w:rPr>
          <w:rFonts w:eastAsia="Times New Roman" w:cs="Times New Roman"/>
          <w:szCs w:val="22"/>
        </w:rPr>
        <w:tab/>
      </w:r>
      <w:bookmarkStart w:id="217" w:name="ID12780"/>
      <w:bookmarkEnd w:id="217"/>
      <w:r w:rsidRPr="00910DBA">
        <w:rPr>
          <w:rFonts w:eastAsia="Times New Roman" w:cs="Times New Roman"/>
          <w:szCs w:val="22"/>
        </w:rPr>
        <w:t>The extent to which an instructional system is broken down, divided or organized into small units to enable flexible sequencing, branching and shorter “chunks” for study and learning. Many instructional programs are divided into modules, units, lessons, etc. (Lewis &amp; Whitlock, 2003).</w:t>
      </w:r>
    </w:p>
    <w:p w14:paraId="63D09567"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p>
    <w:p w14:paraId="540078DE"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bookmarkStart w:id="218" w:name="ID12781"/>
      <w:bookmarkStart w:id="219" w:name="ID12782"/>
      <w:bookmarkEnd w:id="218"/>
      <w:bookmarkEnd w:id="219"/>
      <w:r w:rsidRPr="00910DBA">
        <w:rPr>
          <w:rFonts w:eastAsia="Times New Roman" w:cs="Times New Roman"/>
          <w:b/>
          <w:bCs/>
          <w:szCs w:val="22"/>
        </w:rPr>
        <w:t>Hybrid learning</w:t>
      </w:r>
      <w:r w:rsidRPr="00910DBA">
        <w:rPr>
          <w:rFonts w:eastAsia="Times New Roman" w:cs="Times New Roman"/>
          <w:szCs w:val="22"/>
        </w:rPr>
        <w:t xml:space="preserve"> </w:t>
      </w:r>
      <w:r w:rsidRPr="00910DBA">
        <w:rPr>
          <w:rFonts w:eastAsia="Times New Roman" w:cs="Times New Roman"/>
          <w:szCs w:val="22"/>
        </w:rPr>
        <w:tab/>
      </w:r>
      <w:bookmarkStart w:id="220" w:name="ID12783"/>
      <w:bookmarkEnd w:id="220"/>
      <w:r w:rsidRPr="00910DBA">
        <w:rPr>
          <w:rFonts w:eastAsia="Times New Roman" w:cs="Times New Roman"/>
          <w:szCs w:val="22"/>
        </w:rPr>
        <w:t>See Blended Learning.</w:t>
      </w:r>
    </w:p>
    <w:p w14:paraId="3129BE6E"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p>
    <w:p w14:paraId="297B5D60"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bookmarkStart w:id="221" w:name="ID12784"/>
      <w:bookmarkStart w:id="222" w:name="ID12785"/>
      <w:bookmarkEnd w:id="221"/>
      <w:bookmarkEnd w:id="222"/>
      <w:r w:rsidRPr="00910DBA">
        <w:rPr>
          <w:rFonts w:eastAsia="Times New Roman" w:cs="Times New Roman"/>
          <w:b/>
          <w:bCs/>
          <w:szCs w:val="22"/>
        </w:rPr>
        <w:t>Ill-structured</w:t>
      </w:r>
      <w:r w:rsidRPr="00910DBA">
        <w:rPr>
          <w:rFonts w:eastAsia="Times New Roman" w:cs="Times New Roman"/>
          <w:szCs w:val="22"/>
        </w:rPr>
        <w:t xml:space="preserve"> </w:t>
      </w:r>
      <w:r w:rsidRPr="00910DBA">
        <w:rPr>
          <w:rFonts w:eastAsia="Times New Roman" w:cs="Times New Roman"/>
          <w:szCs w:val="22"/>
        </w:rPr>
        <w:tab/>
      </w:r>
      <w:bookmarkStart w:id="223" w:name="ID12786"/>
      <w:bookmarkEnd w:id="223"/>
      <w:r w:rsidRPr="00910DBA">
        <w:rPr>
          <w:rFonts w:eastAsia="Times New Roman" w:cs="Times New Roman"/>
          <w:szCs w:val="22"/>
        </w:rPr>
        <w:t>Situation in which neither the exact rules to be applied nor the exact nature of the solution is identified in the problem statement. Multiple solutions may be acceptable (Dick et al., 2014).</w:t>
      </w:r>
    </w:p>
    <w:p w14:paraId="7CB9F66D"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p>
    <w:p w14:paraId="052FA98A"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bookmarkStart w:id="224" w:name="ID12787"/>
      <w:bookmarkStart w:id="225" w:name="ID12788"/>
      <w:bookmarkEnd w:id="224"/>
      <w:bookmarkEnd w:id="225"/>
      <w:r w:rsidRPr="00910DBA">
        <w:rPr>
          <w:rFonts w:eastAsia="Times New Roman" w:cs="Times New Roman"/>
          <w:b/>
          <w:bCs/>
          <w:szCs w:val="22"/>
        </w:rPr>
        <w:t>Inferring</w:t>
      </w:r>
      <w:r w:rsidRPr="00910DBA">
        <w:rPr>
          <w:rFonts w:eastAsia="Times New Roman" w:cs="Times New Roman"/>
          <w:szCs w:val="22"/>
        </w:rPr>
        <w:t xml:space="preserve"> </w:t>
      </w:r>
      <w:r w:rsidRPr="00910DBA">
        <w:rPr>
          <w:rFonts w:eastAsia="Times New Roman" w:cs="Times New Roman"/>
          <w:szCs w:val="22"/>
        </w:rPr>
        <w:tab/>
      </w:r>
      <w:bookmarkStart w:id="226" w:name="ID12789"/>
      <w:bookmarkEnd w:id="226"/>
      <w:r w:rsidRPr="00910DBA">
        <w:rPr>
          <w:rFonts w:eastAsia="Times New Roman" w:cs="Times New Roman"/>
          <w:szCs w:val="22"/>
        </w:rPr>
        <w:t>Identifying what may be reasonably true by building on and going beyond the available information.</w:t>
      </w:r>
    </w:p>
    <w:p w14:paraId="1087C304"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p>
    <w:p w14:paraId="4351268D"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bookmarkStart w:id="227" w:name="ID12790"/>
      <w:bookmarkStart w:id="228" w:name="ID12791"/>
      <w:bookmarkEnd w:id="227"/>
      <w:bookmarkEnd w:id="228"/>
      <w:r w:rsidRPr="00910DBA">
        <w:rPr>
          <w:rFonts w:eastAsia="Times New Roman" w:cs="Times New Roman"/>
          <w:b/>
          <w:bCs/>
          <w:szCs w:val="22"/>
        </w:rPr>
        <w:t>Instructional contexts</w:t>
      </w:r>
      <w:r w:rsidRPr="00910DBA">
        <w:rPr>
          <w:rFonts w:eastAsia="Times New Roman" w:cs="Times New Roman"/>
          <w:szCs w:val="22"/>
        </w:rPr>
        <w:t xml:space="preserve"> </w:t>
      </w:r>
      <w:bookmarkStart w:id="229" w:name="ID12792"/>
      <w:bookmarkEnd w:id="229"/>
      <w:r w:rsidRPr="00910DBA">
        <w:rPr>
          <w:rFonts w:eastAsia="Times New Roman" w:cs="Times New Roman"/>
          <w:szCs w:val="22"/>
        </w:rPr>
        <w:t>Instruction takes place within a specific context or situation. There are many instructional contexts, but there are four that have wide-ranging effects on the design of the instruction. These include the Performance Context where the learner will use the new skills and knowledge; the Learning Context or environment where the learning experience takes place; the Cultural Context (societal and/or organizational); and the Theoretical Context which reflects the assumptions held by the designer and/or stakeholders about how people learn (Larson &amp; Lockee, 2014).</w:t>
      </w:r>
    </w:p>
    <w:p w14:paraId="1B40CE9C"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p>
    <w:p w14:paraId="2042F2EB"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bookmarkStart w:id="230" w:name="ID12793"/>
      <w:bookmarkStart w:id="231" w:name="ID12794"/>
      <w:bookmarkEnd w:id="230"/>
      <w:bookmarkEnd w:id="231"/>
      <w:r w:rsidRPr="00910DBA">
        <w:rPr>
          <w:rFonts w:eastAsia="Times New Roman" w:cs="Times New Roman"/>
          <w:b/>
          <w:bCs/>
          <w:szCs w:val="22"/>
        </w:rPr>
        <w:t>Instructional strategy</w:t>
      </w:r>
      <w:r w:rsidRPr="00910DBA">
        <w:rPr>
          <w:rFonts w:eastAsia="Times New Roman" w:cs="Times New Roman"/>
          <w:szCs w:val="22"/>
        </w:rPr>
        <w:t xml:space="preserve"> </w:t>
      </w:r>
      <w:bookmarkStart w:id="232" w:name="ID12795"/>
      <w:bookmarkEnd w:id="232"/>
      <w:r w:rsidRPr="00910DBA">
        <w:rPr>
          <w:rFonts w:eastAsia="Times New Roman" w:cs="Times New Roman"/>
          <w:szCs w:val="22"/>
        </w:rPr>
        <w:t>An overall plan of activities to achieve an instructional goal. The strategy includes the sequence of intermediate objectives and the learning activities leading to the instructional goal as well as specification of student groupings, media, and the delivery system. The instructional activities typically include pre-instructional activities, content presentation, learner participation, assessment, and follow-</w:t>
      </w:r>
      <w:r w:rsidRPr="00910DBA">
        <w:rPr>
          <w:rFonts w:eastAsia="Times New Roman" w:cs="Times New Roman"/>
          <w:szCs w:val="22"/>
        </w:rPr>
        <w:lastRenderedPageBreak/>
        <w:t>through activities (Dick et al., 2014). Specifications for selecting and sequencing events and activities within a lesson (Seels &amp; Richey, 1994).</w:t>
      </w:r>
    </w:p>
    <w:p w14:paraId="436DD658"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p>
    <w:p w14:paraId="67C4D7EA"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bookmarkStart w:id="233" w:name="ID12796"/>
      <w:bookmarkStart w:id="234" w:name="ID12797"/>
      <w:bookmarkEnd w:id="233"/>
      <w:bookmarkEnd w:id="234"/>
      <w:r w:rsidRPr="00910DBA">
        <w:rPr>
          <w:rFonts w:eastAsia="Times New Roman" w:cs="Times New Roman"/>
          <w:b/>
          <w:bCs/>
          <w:szCs w:val="22"/>
        </w:rPr>
        <w:t xml:space="preserve">Instructivism </w:t>
      </w:r>
      <w:r w:rsidRPr="00910DBA">
        <w:rPr>
          <w:rFonts w:eastAsia="Times New Roman" w:cs="Times New Roman"/>
          <w:szCs w:val="22"/>
        </w:rPr>
        <w:tab/>
      </w:r>
      <w:bookmarkStart w:id="235" w:name="ID12798"/>
      <w:bookmarkEnd w:id="235"/>
      <w:r w:rsidRPr="00910DBA">
        <w:rPr>
          <w:rFonts w:eastAsia="Times New Roman" w:cs="Times New Roman"/>
          <w:szCs w:val="22"/>
        </w:rPr>
        <w:t>A pedagogical approach to instruction for which the instruction or an instructor presents content, monitors and guides learner performance in a practice environment and provides feedback, the learner performs the goal task and their performance is assessed. Also described as a “directed” learning environment (Sharma, Oliver &amp; Hannafin, 2007).</w:t>
      </w:r>
    </w:p>
    <w:p w14:paraId="059C2612"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p>
    <w:p w14:paraId="526D2FE5"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bookmarkStart w:id="236" w:name="ID12799"/>
      <w:bookmarkStart w:id="237" w:name="ID12800"/>
      <w:bookmarkEnd w:id="236"/>
      <w:bookmarkEnd w:id="237"/>
      <w:r w:rsidRPr="00910DBA">
        <w:rPr>
          <w:rFonts w:eastAsia="Times New Roman" w:cs="Times New Roman"/>
          <w:b/>
          <w:bCs/>
          <w:szCs w:val="22"/>
        </w:rPr>
        <w:t>Jigsaw</w:t>
      </w:r>
      <w:r w:rsidRPr="00910DBA">
        <w:rPr>
          <w:rFonts w:eastAsia="Times New Roman" w:cs="Times New Roman"/>
          <w:szCs w:val="22"/>
        </w:rPr>
        <w:t xml:space="preserve"> </w:t>
      </w:r>
      <w:r w:rsidRPr="00910DBA">
        <w:rPr>
          <w:rFonts w:eastAsia="Times New Roman" w:cs="Times New Roman"/>
          <w:szCs w:val="22"/>
        </w:rPr>
        <w:tab/>
      </w:r>
      <w:bookmarkStart w:id="238" w:name="ID12801"/>
      <w:bookmarkEnd w:id="238"/>
      <w:r w:rsidRPr="00910DBA">
        <w:rPr>
          <w:rFonts w:eastAsia="Times New Roman" w:cs="Times New Roman"/>
          <w:szCs w:val="22"/>
        </w:rPr>
        <w:t>A cooperative learning strategy used with small groups of learners that requires each member of the group to specialize in one area of content and then teach the rest of the group that content.</w:t>
      </w:r>
    </w:p>
    <w:p w14:paraId="41D3363D"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p>
    <w:p w14:paraId="5ED49807"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bookmarkStart w:id="239" w:name="ID12802"/>
      <w:bookmarkStart w:id="240" w:name="ID12803"/>
      <w:bookmarkEnd w:id="239"/>
      <w:bookmarkEnd w:id="240"/>
      <w:r w:rsidRPr="00910DBA">
        <w:rPr>
          <w:rFonts w:eastAsia="Times New Roman" w:cs="Times New Roman"/>
          <w:b/>
          <w:bCs/>
          <w:szCs w:val="22"/>
        </w:rPr>
        <w:t>Job aid</w:t>
      </w:r>
      <w:r w:rsidRPr="00910DBA">
        <w:rPr>
          <w:rFonts w:eastAsia="Times New Roman" w:cs="Times New Roman"/>
          <w:szCs w:val="22"/>
        </w:rPr>
        <w:t xml:space="preserve"> </w:t>
      </w:r>
      <w:r w:rsidRPr="00910DBA">
        <w:rPr>
          <w:rFonts w:eastAsia="Times New Roman" w:cs="Times New Roman"/>
          <w:szCs w:val="22"/>
        </w:rPr>
        <w:tab/>
      </w:r>
      <w:bookmarkStart w:id="241" w:name="ID12804"/>
      <w:bookmarkEnd w:id="241"/>
      <w:r w:rsidRPr="00910DBA">
        <w:rPr>
          <w:rFonts w:eastAsia="Times New Roman" w:cs="Times New Roman"/>
          <w:szCs w:val="22"/>
        </w:rPr>
        <w:t xml:space="preserve">A support for performing a job that is in either paper or electronic </w:t>
      </w:r>
      <w:proofErr w:type="gramStart"/>
      <w:r w:rsidRPr="00910DBA">
        <w:rPr>
          <w:rFonts w:eastAsia="Times New Roman" w:cs="Times New Roman"/>
          <w:szCs w:val="22"/>
        </w:rPr>
        <w:t>form, and</w:t>
      </w:r>
      <w:proofErr w:type="gramEnd"/>
      <w:r w:rsidRPr="00910DBA">
        <w:rPr>
          <w:rFonts w:eastAsia="Times New Roman" w:cs="Times New Roman"/>
          <w:szCs w:val="22"/>
        </w:rPr>
        <w:t xml:space="preserve"> serves to relieve the learner’s reliance on memory during the performance of a complex task. Also referred to as a quick reference aid.</w:t>
      </w:r>
    </w:p>
    <w:p w14:paraId="1CD92487"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p>
    <w:p w14:paraId="515B1CAB"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bookmarkStart w:id="242" w:name="ID12805"/>
      <w:bookmarkStart w:id="243" w:name="ID12806"/>
      <w:bookmarkEnd w:id="242"/>
      <w:bookmarkEnd w:id="243"/>
      <w:r w:rsidRPr="00910DBA">
        <w:rPr>
          <w:rFonts w:eastAsia="Times New Roman" w:cs="Times New Roman"/>
          <w:b/>
          <w:bCs/>
          <w:szCs w:val="22"/>
        </w:rPr>
        <w:t>Job analysis</w:t>
      </w:r>
      <w:r w:rsidRPr="00910DBA">
        <w:rPr>
          <w:rFonts w:eastAsia="Times New Roman" w:cs="Times New Roman"/>
          <w:szCs w:val="22"/>
        </w:rPr>
        <w:t xml:space="preserve"> </w:t>
      </w:r>
      <w:r w:rsidRPr="00910DBA">
        <w:rPr>
          <w:rFonts w:eastAsia="Times New Roman" w:cs="Times New Roman"/>
          <w:szCs w:val="22"/>
        </w:rPr>
        <w:tab/>
      </w:r>
      <w:bookmarkStart w:id="244" w:name="ID12807"/>
      <w:bookmarkEnd w:id="244"/>
      <w:r w:rsidRPr="00910DBA">
        <w:rPr>
          <w:rFonts w:eastAsia="Times New Roman" w:cs="Times New Roman"/>
          <w:szCs w:val="22"/>
        </w:rPr>
        <w:t>The process of gathering, analyzing, and synthesizing descriptions of what people do, or should do, on their jobs (Dick et al., 2014).</w:t>
      </w:r>
    </w:p>
    <w:p w14:paraId="2F67ACDB"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p>
    <w:p w14:paraId="375F1424"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bookmarkStart w:id="245" w:name="ID12808"/>
      <w:bookmarkStart w:id="246" w:name="ID12809"/>
      <w:bookmarkEnd w:id="245"/>
      <w:bookmarkEnd w:id="246"/>
      <w:r w:rsidRPr="00910DBA">
        <w:rPr>
          <w:rFonts w:eastAsia="Times New Roman" w:cs="Times New Roman"/>
          <w:b/>
          <w:bCs/>
          <w:szCs w:val="22"/>
        </w:rPr>
        <w:t xml:space="preserve">KASI </w:t>
      </w:r>
      <w:r w:rsidRPr="00910DBA">
        <w:rPr>
          <w:rFonts w:eastAsia="Times New Roman" w:cs="Times New Roman"/>
          <w:szCs w:val="22"/>
        </w:rPr>
        <w:tab/>
      </w:r>
      <w:bookmarkStart w:id="247" w:name="ID12810"/>
      <w:bookmarkEnd w:id="247"/>
      <w:r w:rsidRPr="00910DBA">
        <w:rPr>
          <w:rFonts w:eastAsia="Times New Roman" w:cs="Times New Roman"/>
          <w:szCs w:val="22"/>
        </w:rPr>
        <w:t xml:space="preserve">Knowledge, Attitudes, </w:t>
      </w:r>
      <w:proofErr w:type="gramStart"/>
      <w:r w:rsidRPr="00910DBA">
        <w:rPr>
          <w:rFonts w:eastAsia="Times New Roman" w:cs="Times New Roman"/>
          <w:szCs w:val="22"/>
        </w:rPr>
        <w:t>Skills</w:t>
      </w:r>
      <w:proofErr w:type="gramEnd"/>
      <w:r w:rsidRPr="00910DBA">
        <w:rPr>
          <w:rFonts w:eastAsia="Times New Roman" w:cs="Times New Roman"/>
          <w:szCs w:val="22"/>
        </w:rPr>
        <w:t xml:space="preserve"> and Interpersonal abilities. This was a term introduced in Larson &amp; Lockee (2014). The authors reverted back to the use of KSA in the second edition of their text. See also KSA, which replaces the acronym KASI in the 2</w:t>
      </w:r>
      <w:r w:rsidRPr="00910DBA">
        <w:rPr>
          <w:rFonts w:eastAsia="Times New Roman" w:cs="Times New Roman"/>
          <w:szCs w:val="22"/>
          <w:vertAlign w:val="superscript"/>
        </w:rPr>
        <w:t>nd</w:t>
      </w:r>
      <w:r w:rsidRPr="00910DBA">
        <w:rPr>
          <w:rFonts w:eastAsia="Times New Roman" w:cs="Times New Roman"/>
          <w:szCs w:val="22"/>
        </w:rPr>
        <w:t xml:space="preserve"> and 3rd editions.</w:t>
      </w:r>
    </w:p>
    <w:p w14:paraId="559486F6"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p>
    <w:p w14:paraId="3E0A7C0F"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bookmarkStart w:id="248" w:name="ID12811"/>
      <w:bookmarkStart w:id="249" w:name="ID12812"/>
      <w:bookmarkEnd w:id="248"/>
      <w:bookmarkEnd w:id="249"/>
      <w:r w:rsidRPr="00910DBA">
        <w:rPr>
          <w:rFonts w:eastAsia="Times New Roman" w:cs="Times New Roman"/>
          <w:b/>
          <w:bCs/>
          <w:szCs w:val="22"/>
        </w:rPr>
        <w:t>Knowledge domain</w:t>
      </w:r>
      <w:r w:rsidRPr="00910DBA">
        <w:rPr>
          <w:rFonts w:eastAsia="Times New Roman" w:cs="Times New Roman"/>
          <w:szCs w:val="22"/>
        </w:rPr>
        <w:t xml:space="preserve"> </w:t>
      </w:r>
      <w:r w:rsidRPr="00910DBA">
        <w:rPr>
          <w:rFonts w:eastAsia="Times New Roman" w:cs="Times New Roman"/>
          <w:szCs w:val="22"/>
        </w:rPr>
        <w:tab/>
      </w:r>
      <w:bookmarkStart w:id="250" w:name="ID12813"/>
      <w:bookmarkEnd w:id="250"/>
      <w:r w:rsidRPr="00910DBA">
        <w:rPr>
          <w:rFonts w:eastAsia="Times New Roman" w:cs="Times New Roman"/>
          <w:szCs w:val="22"/>
        </w:rPr>
        <w:t>A body of information commonly associated with a particular content area or field of study.</w:t>
      </w:r>
    </w:p>
    <w:p w14:paraId="33462C7C"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p>
    <w:p w14:paraId="26254D24"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bookmarkStart w:id="251" w:name="ID12814"/>
      <w:bookmarkStart w:id="252" w:name="ID12815"/>
      <w:bookmarkEnd w:id="251"/>
      <w:bookmarkEnd w:id="252"/>
      <w:r w:rsidRPr="00910DBA">
        <w:rPr>
          <w:rFonts w:eastAsia="Times New Roman" w:cs="Times New Roman"/>
          <w:b/>
          <w:bCs/>
          <w:szCs w:val="22"/>
        </w:rPr>
        <w:t>Knowledge management</w:t>
      </w:r>
      <w:r w:rsidRPr="00910DBA">
        <w:rPr>
          <w:rFonts w:eastAsia="Times New Roman" w:cs="Times New Roman"/>
          <w:szCs w:val="22"/>
        </w:rPr>
        <w:t xml:space="preserve">  </w:t>
      </w:r>
      <w:bookmarkStart w:id="253" w:name="ID12816"/>
      <w:bookmarkEnd w:id="253"/>
      <w:r w:rsidRPr="00910DBA">
        <w:rPr>
          <w:rFonts w:eastAsia="Times New Roman" w:cs="Times New Roman"/>
          <w:szCs w:val="22"/>
        </w:rPr>
        <w:t xml:space="preserve">Also referred to as point-of-need and just-in-time support, this term refers to management of information and performance support materials that scaffold workers and learners with easy access to information, training, reference files, and social networking and collaboration applications. These systems provide just-in-time information and self-paced training units and tutorials. They also capture and store the knowledge, </w:t>
      </w:r>
      <w:proofErr w:type="gramStart"/>
      <w:r w:rsidRPr="00910DBA">
        <w:rPr>
          <w:rFonts w:eastAsia="Times New Roman" w:cs="Times New Roman"/>
          <w:szCs w:val="22"/>
        </w:rPr>
        <w:t>expertise</w:t>
      </w:r>
      <w:proofErr w:type="gramEnd"/>
      <w:r w:rsidRPr="00910DBA">
        <w:rPr>
          <w:rFonts w:eastAsia="Times New Roman" w:cs="Times New Roman"/>
          <w:szCs w:val="22"/>
        </w:rPr>
        <w:t xml:space="preserve"> and interaction of employees for future use and to guard against valuable information loss when employees leave the organization.</w:t>
      </w:r>
    </w:p>
    <w:p w14:paraId="000D2B7C"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p>
    <w:p w14:paraId="1449D984"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bookmarkStart w:id="254" w:name="ID12817"/>
      <w:bookmarkStart w:id="255" w:name="ID12818"/>
      <w:bookmarkEnd w:id="254"/>
      <w:bookmarkEnd w:id="255"/>
      <w:r w:rsidRPr="00910DBA">
        <w:rPr>
          <w:rFonts w:eastAsia="Times New Roman" w:cs="Times New Roman"/>
          <w:b/>
          <w:bCs/>
          <w:szCs w:val="22"/>
        </w:rPr>
        <w:t xml:space="preserve">KSA </w:t>
      </w:r>
      <w:r w:rsidRPr="00910DBA">
        <w:rPr>
          <w:rFonts w:eastAsia="Times New Roman" w:cs="Times New Roman"/>
          <w:szCs w:val="22"/>
        </w:rPr>
        <w:tab/>
      </w:r>
      <w:bookmarkStart w:id="256" w:name="ID12819"/>
      <w:bookmarkEnd w:id="256"/>
      <w:r w:rsidRPr="00910DBA">
        <w:rPr>
          <w:rFonts w:eastAsia="Times New Roman" w:cs="Times New Roman"/>
          <w:szCs w:val="22"/>
        </w:rPr>
        <w:t>Knowledge, Skills, and Attitudes.</w:t>
      </w:r>
    </w:p>
    <w:p w14:paraId="702A4989"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p>
    <w:p w14:paraId="2153F730"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bookmarkStart w:id="257" w:name="ID12820"/>
      <w:bookmarkStart w:id="258" w:name="ID12821"/>
      <w:bookmarkEnd w:id="257"/>
      <w:bookmarkEnd w:id="258"/>
      <w:r w:rsidRPr="00910DBA">
        <w:rPr>
          <w:rFonts w:eastAsia="Times New Roman" w:cs="Times New Roman"/>
          <w:b/>
          <w:bCs/>
          <w:szCs w:val="22"/>
        </w:rPr>
        <w:t>K-W-L strategy</w:t>
      </w:r>
      <w:r w:rsidRPr="00910DBA">
        <w:rPr>
          <w:rFonts w:eastAsia="Times New Roman" w:cs="Times New Roman"/>
          <w:szCs w:val="22"/>
        </w:rPr>
        <w:t xml:space="preserve"> </w:t>
      </w:r>
      <w:r w:rsidRPr="00910DBA">
        <w:rPr>
          <w:rFonts w:eastAsia="Times New Roman" w:cs="Times New Roman"/>
          <w:szCs w:val="22"/>
        </w:rPr>
        <w:tab/>
      </w:r>
      <w:bookmarkStart w:id="259" w:name="ID12822"/>
      <w:bookmarkEnd w:id="259"/>
      <w:r w:rsidRPr="00910DBA">
        <w:rPr>
          <w:rFonts w:eastAsia="Times New Roman" w:cs="Times New Roman"/>
          <w:szCs w:val="22"/>
        </w:rPr>
        <w:t xml:space="preserve">Know / Want to </w:t>
      </w:r>
      <w:proofErr w:type="gramStart"/>
      <w:r w:rsidRPr="00910DBA">
        <w:rPr>
          <w:rFonts w:eastAsia="Times New Roman" w:cs="Times New Roman"/>
          <w:szCs w:val="22"/>
        </w:rPr>
        <w:t>Know / Learned</w:t>
      </w:r>
      <w:proofErr w:type="gramEnd"/>
      <w:r w:rsidRPr="00910DBA">
        <w:rPr>
          <w:rFonts w:eastAsia="Times New Roman" w:cs="Times New Roman"/>
          <w:szCs w:val="22"/>
        </w:rPr>
        <w:t xml:space="preserve"> is a reading strategy that guides reading and inquiry using a frame or worksheet that requires learners identify what they already Know about a topic, what they Want to know, and, following the reading or inquiry, what they have Learned about the topic.</w:t>
      </w:r>
    </w:p>
    <w:p w14:paraId="2D3EBBCA"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p>
    <w:p w14:paraId="5AB6F592"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bookmarkStart w:id="260" w:name="ID12823"/>
      <w:bookmarkStart w:id="261" w:name="ID12824"/>
      <w:bookmarkEnd w:id="260"/>
      <w:bookmarkEnd w:id="261"/>
      <w:r w:rsidRPr="00910DBA">
        <w:rPr>
          <w:rFonts w:eastAsia="Times New Roman" w:cs="Times New Roman"/>
          <w:b/>
          <w:bCs/>
          <w:szCs w:val="22"/>
        </w:rPr>
        <w:t>Learner analysis</w:t>
      </w:r>
      <w:r w:rsidRPr="00910DBA">
        <w:rPr>
          <w:rFonts w:eastAsia="Times New Roman" w:cs="Times New Roman"/>
          <w:szCs w:val="22"/>
        </w:rPr>
        <w:t xml:space="preserve"> </w:t>
      </w:r>
      <w:r w:rsidRPr="00910DBA">
        <w:rPr>
          <w:rFonts w:eastAsia="Times New Roman" w:cs="Times New Roman"/>
          <w:szCs w:val="22"/>
        </w:rPr>
        <w:tab/>
      </w:r>
      <w:bookmarkStart w:id="262" w:name="ID12825"/>
      <w:bookmarkEnd w:id="262"/>
      <w:r w:rsidRPr="00910DBA">
        <w:rPr>
          <w:rFonts w:eastAsia="Times New Roman" w:cs="Times New Roman"/>
          <w:szCs w:val="22"/>
        </w:rPr>
        <w:t xml:space="preserve">The determination of pertinent characteristics of members of the target population. Often includes prior knowledge and attitudes toward the content to </w:t>
      </w:r>
      <w:r w:rsidRPr="00910DBA">
        <w:rPr>
          <w:rFonts w:eastAsia="Times New Roman" w:cs="Times New Roman"/>
          <w:szCs w:val="22"/>
        </w:rPr>
        <w:lastRenderedPageBreak/>
        <w:t>be taught, as well as attitudes toward the organization and work environment (Dick et al., 2014).</w:t>
      </w:r>
    </w:p>
    <w:p w14:paraId="37F7BCEE"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p>
    <w:p w14:paraId="3617B69A"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bookmarkStart w:id="263" w:name="ID12826"/>
      <w:bookmarkStart w:id="264" w:name="ID12827"/>
      <w:bookmarkEnd w:id="263"/>
      <w:bookmarkEnd w:id="264"/>
      <w:r w:rsidRPr="00910DBA">
        <w:rPr>
          <w:rFonts w:eastAsia="Times New Roman" w:cs="Times New Roman"/>
          <w:b/>
          <w:bCs/>
          <w:szCs w:val="22"/>
        </w:rPr>
        <w:t>Learning analytics</w:t>
      </w:r>
      <w:r w:rsidRPr="00910DBA">
        <w:rPr>
          <w:rFonts w:eastAsia="Times New Roman" w:cs="Times New Roman"/>
          <w:szCs w:val="22"/>
        </w:rPr>
        <w:t xml:space="preserve"> </w:t>
      </w:r>
      <w:r w:rsidRPr="00910DBA">
        <w:rPr>
          <w:rFonts w:eastAsia="Times New Roman" w:cs="Times New Roman"/>
          <w:szCs w:val="22"/>
        </w:rPr>
        <w:tab/>
      </w:r>
      <w:bookmarkStart w:id="265" w:name="ID12828"/>
      <w:bookmarkEnd w:id="265"/>
      <w:r w:rsidRPr="00910DBA">
        <w:rPr>
          <w:rFonts w:eastAsia="Times New Roman" w:cs="Times New Roman"/>
          <w:szCs w:val="22"/>
        </w:rPr>
        <w:t>Learning analytics involves collecting, interpreting, and reporting data about how and where learning occurs for a learner to determine academic progress, predict future performance, and identify potential learning issues.</w:t>
      </w:r>
    </w:p>
    <w:p w14:paraId="46C4F801"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p>
    <w:p w14:paraId="0D6B11D6"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bookmarkStart w:id="266" w:name="ID12829"/>
      <w:bookmarkStart w:id="267" w:name="ID12830"/>
      <w:bookmarkEnd w:id="266"/>
      <w:bookmarkEnd w:id="267"/>
      <w:r w:rsidRPr="00910DBA">
        <w:rPr>
          <w:rFonts w:eastAsia="Times New Roman" w:cs="Times New Roman"/>
          <w:b/>
          <w:bCs/>
          <w:szCs w:val="22"/>
        </w:rPr>
        <w:t>Learning context</w:t>
      </w:r>
      <w:r w:rsidRPr="00910DBA">
        <w:rPr>
          <w:rFonts w:eastAsia="Times New Roman" w:cs="Times New Roman"/>
          <w:szCs w:val="22"/>
        </w:rPr>
        <w:t xml:space="preserve"> </w:t>
      </w:r>
      <w:r w:rsidRPr="00910DBA">
        <w:rPr>
          <w:rFonts w:eastAsia="Times New Roman" w:cs="Times New Roman"/>
          <w:szCs w:val="22"/>
        </w:rPr>
        <w:tab/>
      </w:r>
      <w:bookmarkStart w:id="268" w:name="ID12831"/>
      <w:bookmarkEnd w:id="268"/>
      <w:r w:rsidRPr="00910DBA">
        <w:rPr>
          <w:rFonts w:eastAsia="Times New Roman" w:cs="Times New Roman"/>
          <w:szCs w:val="22"/>
        </w:rPr>
        <w:t>The actual physical location (or locations) in which the instruction that is under development will be used (Dick et al., 2014).</w:t>
      </w:r>
    </w:p>
    <w:p w14:paraId="5F97FF8E"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p>
    <w:p w14:paraId="6533C8FE"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bookmarkStart w:id="269" w:name="ID12832"/>
      <w:bookmarkStart w:id="270" w:name="ID12833"/>
      <w:bookmarkEnd w:id="269"/>
      <w:bookmarkEnd w:id="270"/>
      <w:r w:rsidRPr="00910DBA">
        <w:rPr>
          <w:rFonts w:eastAsia="Times New Roman" w:cs="Times New Roman"/>
          <w:b/>
          <w:bCs/>
          <w:szCs w:val="22"/>
        </w:rPr>
        <w:t>Learning hierarchy</w:t>
      </w:r>
      <w:r w:rsidRPr="00910DBA">
        <w:rPr>
          <w:rFonts w:eastAsia="Times New Roman" w:cs="Times New Roman"/>
          <w:szCs w:val="22"/>
        </w:rPr>
        <w:t xml:space="preserve"> </w:t>
      </w:r>
      <w:r w:rsidRPr="00910DBA">
        <w:rPr>
          <w:rFonts w:eastAsia="Times New Roman" w:cs="Times New Roman"/>
          <w:szCs w:val="22"/>
        </w:rPr>
        <w:tab/>
      </w:r>
      <w:bookmarkStart w:id="271" w:name="ID12834"/>
      <w:bookmarkEnd w:id="271"/>
      <w:r w:rsidRPr="00910DBA">
        <w:rPr>
          <w:rFonts w:eastAsia="Times New Roman" w:cs="Times New Roman"/>
          <w:szCs w:val="22"/>
        </w:rPr>
        <w:t>A learning structure which describes what the learner must be able to do before something else can be learned, and which illustrates the dependencies and relationships between the elements to be learned (Merrill, 1994).</w:t>
      </w:r>
    </w:p>
    <w:p w14:paraId="0EB2B362"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p>
    <w:p w14:paraId="78987AC8"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bookmarkStart w:id="272" w:name="ID12835"/>
      <w:bookmarkStart w:id="273" w:name="ID12836"/>
      <w:bookmarkEnd w:id="272"/>
      <w:bookmarkEnd w:id="273"/>
      <w:r w:rsidRPr="00910DBA">
        <w:rPr>
          <w:rFonts w:eastAsia="Times New Roman" w:cs="Times New Roman"/>
          <w:b/>
          <w:bCs/>
          <w:szCs w:val="22"/>
        </w:rPr>
        <w:t>Learning objects</w:t>
      </w:r>
      <w:r w:rsidRPr="00910DBA">
        <w:rPr>
          <w:rFonts w:eastAsia="Times New Roman" w:cs="Times New Roman"/>
          <w:szCs w:val="22"/>
        </w:rPr>
        <w:t xml:space="preserve"> </w:t>
      </w:r>
      <w:r w:rsidRPr="00910DBA">
        <w:rPr>
          <w:rFonts w:eastAsia="Times New Roman" w:cs="Times New Roman"/>
          <w:szCs w:val="22"/>
        </w:rPr>
        <w:tab/>
      </w:r>
      <w:bookmarkStart w:id="274" w:name="ID12837"/>
      <w:bookmarkEnd w:id="274"/>
      <w:r w:rsidRPr="00910DBA">
        <w:rPr>
          <w:rFonts w:eastAsia="Times New Roman" w:cs="Times New Roman"/>
          <w:szCs w:val="22"/>
        </w:rPr>
        <w:t>“A learning object is any entity, digital or non-digital, which can be used, re-used and referenced during technology-supported teaching” (From IEEE, cited in Conole, 2002, p. 5). Learning object repositories are online, searchable collections of digital educational resources.</w:t>
      </w:r>
    </w:p>
    <w:p w14:paraId="0CAB561A"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p>
    <w:p w14:paraId="2412D846"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bookmarkStart w:id="275" w:name="ID12838"/>
      <w:bookmarkStart w:id="276" w:name="ID12839"/>
      <w:bookmarkEnd w:id="275"/>
      <w:bookmarkEnd w:id="276"/>
      <w:r w:rsidRPr="00910DBA">
        <w:rPr>
          <w:rFonts w:eastAsia="Times New Roman" w:cs="Times New Roman"/>
          <w:b/>
          <w:bCs/>
          <w:szCs w:val="22"/>
        </w:rPr>
        <w:t>Locus of control</w:t>
      </w:r>
      <w:r w:rsidRPr="00910DBA">
        <w:rPr>
          <w:rFonts w:eastAsia="Times New Roman" w:cs="Times New Roman"/>
          <w:szCs w:val="22"/>
        </w:rPr>
        <w:t xml:space="preserve"> </w:t>
      </w:r>
      <w:r w:rsidRPr="00910DBA">
        <w:rPr>
          <w:rFonts w:eastAsia="Times New Roman" w:cs="Times New Roman"/>
          <w:szCs w:val="22"/>
        </w:rPr>
        <w:tab/>
      </w:r>
      <w:bookmarkStart w:id="277" w:name="ID12840"/>
      <w:bookmarkEnd w:id="277"/>
      <w:r w:rsidRPr="00910DBA">
        <w:rPr>
          <w:rFonts w:eastAsia="Times New Roman" w:cs="Times New Roman"/>
          <w:szCs w:val="22"/>
        </w:rPr>
        <w:t>Also referred to as locus of causality, this term refers to the extent to which a learner believes that he or she controls the events that affect their learning (Rotter, 1954).</w:t>
      </w:r>
    </w:p>
    <w:p w14:paraId="01FFAB15"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p>
    <w:p w14:paraId="4852FA34"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bookmarkStart w:id="278" w:name="ID12841"/>
      <w:bookmarkStart w:id="279" w:name="ID12842"/>
      <w:bookmarkEnd w:id="278"/>
      <w:bookmarkEnd w:id="279"/>
      <w:r w:rsidRPr="00910DBA">
        <w:rPr>
          <w:rFonts w:eastAsia="Times New Roman" w:cs="Times New Roman"/>
          <w:b/>
          <w:bCs/>
          <w:szCs w:val="22"/>
        </w:rPr>
        <w:t xml:space="preserve">Mashup </w:t>
      </w:r>
      <w:r w:rsidRPr="00910DBA">
        <w:rPr>
          <w:rFonts w:eastAsia="Times New Roman" w:cs="Times New Roman"/>
          <w:szCs w:val="22"/>
        </w:rPr>
        <w:tab/>
      </w:r>
      <w:bookmarkStart w:id="280" w:name="ID12843"/>
      <w:bookmarkEnd w:id="280"/>
      <w:r w:rsidRPr="00910DBA">
        <w:rPr>
          <w:rFonts w:eastAsia="Times New Roman" w:cs="Times New Roman"/>
          <w:szCs w:val="22"/>
        </w:rPr>
        <w:t xml:space="preserve">A combination of existing works, data, </w:t>
      </w:r>
      <w:proofErr w:type="gramStart"/>
      <w:r w:rsidRPr="00910DBA">
        <w:rPr>
          <w:rFonts w:eastAsia="Times New Roman" w:cs="Times New Roman"/>
          <w:szCs w:val="22"/>
        </w:rPr>
        <w:t>presentations</w:t>
      </w:r>
      <w:proofErr w:type="gramEnd"/>
      <w:r w:rsidRPr="00910DBA">
        <w:rPr>
          <w:rFonts w:eastAsia="Times New Roman" w:cs="Times New Roman"/>
          <w:szCs w:val="22"/>
        </w:rPr>
        <w:t xml:space="preserve"> or functionality to create a new entity.</w:t>
      </w:r>
    </w:p>
    <w:p w14:paraId="325571DD"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p>
    <w:p w14:paraId="12FDF505"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bookmarkStart w:id="281" w:name="ID12844"/>
      <w:bookmarkStart w:id="282" w:name="ID12845"/>
      <w:bookmarkEnd w:id="281"/>
      <w:bookmarkEnd w:id="282"/>
      <w:r w:rsidRPr="00910DBA">
        <w:rPr>
          <w:rFonts w:eastAsia="Times New Roman" w:cs="Times New Roman"/>
          <w:b/>
          <w:bCs/>
          <w:szCs w:val="22"/>
        </w:rPr>
        <w:t>Message design</w:t>
      </w:r>
      <w:r w:rsidRPr="00910DBA">
        <w:rPr>
          <w:rFonts w:eastAsia="Times New Roman" w:cs="Times New Roman"/>
          <w:szCs w:val="22"/>
        </w:rPr>
        <w:t xml:space="preserve"> </w:t>
      </w:r>
      <w:r w:rsidRPr="00910DBA">
        <w:rPr>
          <w:rFonts w:eastAsia="Times New Roman" w:cs="Times New Roman"/>
          <w:szCs w:val="22"/>
        </w:rPr>
        <w:tab/>
      </w:r>
      <w:bookmarkStart w:id="283" w:name="ID12846"/>
      <w:bookmarkEnd w:id="283"/>
      <w:r w:rsidRPr="00910DBA">
        <w:rPr>
          <w:rFonts w:eastAsia="Times New Roman" w:cs="Times New Roman"/>
          <w:szCs w:val="22"/>
        </w:rPr>
        <w:t>The specification and manipulation of media for the purpose of producing learning (Bishop, 2014).</w:t>
      </w:r>
    </w:p>
    <w:p w14:paraId="33AD6A1A"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p>
    <w:p w14:paraId="1ECC4482"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bookmarkStart w:id="284" w:name="ID12847"/>
      <w:bookmarkStart w:id="285" w:name="ID12848"/>
      <w:bookmarkEnd w:id="284"/>
      <w:bookmarkEnd w:id="285"/>
      <w:r w:rsidRPr="00910DBA">
        <w:rPr>
          <w:rFonts w:eastAsia="Times New Roman" w:cs="Times New Roman"/>
          <w:b/>
          <w:bCs/>
          <w:szCs w:val="22"/>
        </w:rPr>
        <w:t xml:space="preserve">Metacognition </w:t>
      </w:r>
      <w:r w:rsidRPr="00910DBA">
        <w:rPr>
          <w:rFonts w:eastAsia="Times New Roman" w:cs="Times New Roman"/>
          <w:szCs w:val="22"/>
        </w:rPr>
        <w:tab/>
      </w:r>
      <w:bookmarkStart w:id="286" w:name="ID12849"/>
      <w:bookmarkEnd w:id="286"/>
      <w:r w:rsidRPr="00910DBA">
        <w:rPr>
          <w:rFonts w:eastAsia="Times New Roman" w:cs="Times New Roman"/>
          <w:szCs w:val="22"/>
        </w:rPr>
        <w:t>Awareness and control of one’s thinking, including commitment, attitudes, and attention. Often defined as “thinking about thinking.”</w:t>
      </w:r>
    </w:p>
    <w:p w14:paraId="1D6CF9A2"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p>
    <w:p w14:paraId="78B17D7C"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bookmarkStart w:id="287" w:name="ID12850"/>
      <w:bookmarkStart w:id="288" w:name="ID12851"/>
      <w:bookmarkEnd w:id="287"/>
      <w:bookmarkEnd w:id="288"/>
      <w:r w:rsidRPr="00910DBA">
        <w:rPr>
          <w:rFonts w:eastAsia="Times New Roman" w:cs="Times New Roman"/>
          <w:b/>
          <w:bCs/>
          <w:szCs w:val="22"/>
        </w:rPr>
        <w:t xml:space="preserve">Microworlds </w:t>
      </w:r>
      <w:r w:rsidRPr="00910DBA">
        <w:rPr>
          <w:rFonts w:eastAsia="Times New Roman" w:cs="Times New Roman"/>
          <w:szCs w:val="22"/>
        </w:rPr>
        <w:tab/>
      </w:r>
      <w:bookmarkStart w:id="289" w:name="ID12852"/>
      <w:bookmarkEnd w:id="289"/>
      <w:r w:rsidRPr="00910DBA">
        <w:rPr>
          <w:rFonts w:eastAsia="Times New Roman" w:cs="Times New Roman"/>
          <w:szCs w:val="22"/>
        </w:rPr>
        <w:t xml:space="preserve">A term coined by Seymore </w:t>
      </w:r>
      <w:proofErr w:type="spellStart"/>
      <w:r w:rsidRPr="00910DBA">
        <w:rPr>
          <w:rFonts w:eastAsia="Times New Roman" w:cs="Times New Roman"/>
          <w:szCs w:val="22"/>
        </w:rPr>
        <w:t>Papert</w:t>
      </w:r>
      <w:proofErr w:type="spellEnd"/>
      <w:r w:rsidRPr="00910DBA">
        <w:rPr>
          <w:rFonts w:eastAsia="Times New Roman" w:cs="Times New Roman"/>
          <w:szCs w:val="22"/>
        </w:rPr>
        <w:t xml:space="preserve"> to describe exploratory learning environments that Jonassen (2000)says are basically discovery spaces and simulations of “real-world phenomena in which learners can navigate, manipulate or create objects, and test their effects on one another” (p. 157), and they can assume many forms in different learning domains.</w:t>
      </w:r>
    </w:p>
    <w:p w14:paraId="4C2802BF"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p>
    <w:p w14:paraId="35FE273D"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bookmarkStart w:id="290" w:name="ID12853"/>
      <w:bookmarkStart w:id="291" w:name="ID12854"/>
      <w:bookmarkEnd w:id="290"/>
      <w:bookmarkEnd w:id="291"/>
      <w:r w:rsidRPr="00910DBA">
        <w:rPr>
          <w:rFonts w:eastAsia="Times New Roman" w:cs="Times New Roman"/>
          <w:b/>
          <w:bCs/>
          <w:szCs w:val="22"/>
        </w:rPr>
        <w:t xml:space="preserve">Mindtools </w:t>
      </w:r>
      <w:r w:rsidRPr="00910DBA">
        <w:rPr>
          <w:rFonts w:eastAsia="Times New Roman" w:cs="Times New Roman"/>
          <w:szCs w:val="22"/>
        </w:rPr>
        <w:tab/>
      </w:r>
      <w:bookmarkStart w:id="292" w:name="ID12855"/>
      <w:bookmarkEnd w:id="292"/>
      <w:r w:rsidRPr="00910DBA">
        <w:rPr>
          <w:rFonts w:eastAsia="Times New Roman" w:cs="Times New Roman"/>
          <w:szCs w:val="22"/>
        </w:rPr>
        <w:t>“Mindtools … are computer applications that require students to think in meaningful ways in order to use the application to represent what they know” (Jonassen, 2000, p. 4), and they serve as tools that learners use as intellectual partners to build knowledge.</w:t>
      </w:r>
    </w:p>
    <w:p w14:paraId="72341E6E"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p>
    <w:p w14:paraId="548068E8"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bookmarkStart w:id="293" w:name="ID12856"/>
      <w:bookmarkStart w:id="294" w:name="ID12857"/>
      <w:bookmarkEnd w:id="293"/>
      <w:bookmarkEnd w:id="294"/>
      <w:r w:rsidRPr="00910DBA">
        <w:rPr>
          <w:rFonts w:eastAsia="Times New Roman" w:cs="Times New Roman"/>
          <w:b/>
          <w:bCs/>
          <w:szCs w:val="22"/>
        </w:rPr>
        <w:t xml:space="preserve">Misconception </w:t>
      </w:r>
      <w:r w:rsidRPr="00910DBA">
        <w:rPr>
          <w:rFonts w:eastAsia="Times New Roman" w:cs="Times New Roman"/>
          <w:szCs w:val="22"/>
        </w:rPr>
        <w:tab/>
      </w:r>
      <w:bookmarkStart w:id="295" w:name="ID12858"/>
      <w:bookmarkEnd w:id="295"/>
      <w:r w:rsidRPr="00910DBA">
        <w:rPr>
          <w:rFonts w:eastAsia="Times New Roman" w:cs="Times New Roman"/>
          <w:szCs w:val="22"/>
        </w:rPr>
        <w:t>A situation in which the student focuses on some irrelevant attribute as a critical attribute and thereby excludes examples which do not have this attribute and includes non-examples which do have this attribute (Merrill, 1994).</w:t>
      </w:r>
    </w:p>
    <w:p w14:paraId="5D456B5D"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p>
    <w:p w14:paraId="4B34BBE1"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bookmarkStart w:id="296" w:name="ID12859"/>
      <w:bookmarkStart w:id="297" w:name="ID12860"/>
      <w:bookmarkEnd w:id="296"/>
      <w:bookmarkEnd w:id="297"/>
      <w:r w:rsidRPr="00910DBA">
        <w:rPr>
          <w:rFonts w:eastAsia="Times New Roman" w:cs="Times New Roman"/>
          <w:b/>
          <w:bCs/>
          <w:szCs w:val="22"/>
        </w:rPr>
        <w:lastRenderedPageBreak/>
        <w:t xml:space="preserve">Mnemonics </w:t>
      </w:r>
      <w:r w:rsidRPr="00910DBA">
        <w:rPr>
          <w:rFonts w:eastAsia="Times New Roman" w:cs="Times New Roman"/>
          <w:szCs w:val="22"/>
        </w:rPr>
        <w:tab/>
      </w:r>
      <w:bookmarkStart w:id="298" w:name="ID12861"/>
      <w:bookmarkEnd w:id="298"/>
      <w:r w:rsidRPr="00910DBA">
        <w:rPr>
          <w:rFonts w:eastAsia="Times New Roman" w:cs="Times New Roman"/>
          <w:szCs w:val="22"/>
        </w:rPr>
        <w:t>A set of encoding strategies that involve linking bits of information together through visual or semantic connections.</w:t>
      </w:r>
    </w:p>
    <w:p w14:paraId="4118928F"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p>
    <w:p w14:paraId="66BB6066"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bookmarkStart w:id="299" w:name="ID12862"/>
      <w:bookmarkStart w:id="300" w:name="ID12863"/>
      <w:bookmarkEnd w:id="299"/>
      <w:bookmarkEnd w:id="300"/>
      <w:r w:rsidRPr="00910DBA">
        <w:rPr>
          <w:rFonts w:eastAsia="Times New Roman" w:cs="Times New Roman"/>
          <w:b/>
          <w:bCs/>
          <w:szCs w:val="22"/>
        </w:rPr>
        <w:t xml:space="preserve">Module </w:t>
      </w:r>
      <w:r w:rsidRPr="00910DBA">
        <w:rPr>
          <w:rFonts w:eastAsia="Times New Roman" w:cs="Times New Roman"/>
          <w:szCs w:val="22"/>
        </w:rPr>
        <w:tab/>
      </w:r>
      <w:bookmarkStart w:id="301" w:name="ID12864"/>
      <w:bookmarkEnd w:id="301"/>
      <w:r w:rsidRPr="00910DBA">
        <w:rPr>
          <w:rFonts w:eastAsia="Times New Roman" w:cs="Times New Roman"/>
          <w:szCs w:val="22"/>
        </w:rPr>
        <w:t>An instructional package with a single integrated theme that provides the information needed to develop mastery of specified knowledge and skills and serves as one component of a total course or curriculum (Dick et al., 2014).</w:t>
      </w:r>
    </w:p>
    <w:p w14:paraId="3D6E0AD6"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p>
    <w:p w14:paraId="41A28F28"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bookmarkStart w:id="302" w:name="ID12865"/>
      <w:bookmarkStart w:id="303" w:name="ID12866"/>
      <w:bookmarkEnd w:id="302"/>
      <w:bookmarkEnd w:id="303"/>
      <w:r w:rsidRPr="00910DBA">
        <w:rPr>
          <w:rFonts w:eastAsia="Times New Roman" w:cs="Times New Roman"/>
          <w:b/>
          <w:bCs/>
          <w:szCs w:val="22"/>
        </w:rPr>
        <w:t xml:space="preserve">MOOC </w:t>
      </w:r>
      <w:r w:rsidRPr="00910DBA">
        <w:rPr>
          <w:rFonts w:eastAsia="Times New Roman" w:cs="Times New Roman"/>
          <w:szCs w:val="22"/>
        </w:rPr>
        <w:tab/>
      </w:r>
      <w:bookmarkStart w:id="304" w:name="ID12867"/>
      <w:bookmarkEnd w:id="304"/>
      <w:r w:rsidRPr="00910DBA">
        <w:rPr>
          <w:rFonts w:eastAsia="Times New Roman" w:cs="Times New Roman"/>
          <w:szCs w:val="22"/>
        </w:rPr>
        <w:t>Massive Open Online Course. A MOOC provides open access to an unlimited number of interested individuals wishing to learn online. MOOCs are frequently offered by established universities who allow open participation without credit. Sometimes they will establish additional requirements for participants desiring credit.</w:t>
      </w:r>
    </w:p>
    <w:p w14:paraId="145ABC17"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p>
    <w:p w14:paraId="77EE6790"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bookmarkStart w:id="305" w:name="ID12868"/>
      <w:bookmarkStart w:id="306" w:name="ID12869"/>
      <w:bookmarkEnd w:id="305"/>
      <w:bookmarkEnd w:id="306"/>
      <w:r w:rsidRPr="00910DBA">
        <w:rPr>
          <w:rFonts w:eastAsia="Times New Roman" w:cs="Times New Roman"/>
          <w:b/>
          <w:bCs/>
          <w:szCs w:val="22"/>
        </w:rPr>
        <w:t>Needs analysis, Needs assessment</w:t>
      </w:r>
      <w:r w:rsidRPr="00910DBA">
        <w:rPr>
          <w:rFonts w:eastAsia="Times New Roman" w:cs="Times New Roman"/>
          <w:szCs w:val="22"/>
        </w:rPr>
        <w:t xml:space="preserve"> </w:t>
      </w:r>
      <w:r w:rsidRPr="00910DBA">
        <w:rPr>
          <w:rFonts w:eastAsia="Times New Roman" w:cs="Times New Roman"/>
          <w:szCs w:val="22"/>
        </w:rPr>
        <w:tab/>
      </w:r>
      <w:bookmarkStart w:id="307" w:name="ID12870"/>
      <w:bookmarkEnd w:id="307"/>
      <w:r w:rsidRPr="00910DBA">
        <w:rPr>
          <w:rFonts w:eastAsia="Times New Roman" w:cs="Times New Roman"/>
          <w:szCs w:val="22"/>
        </w:rPr>
        <w:t xml:space="preserve">The formal process of identifying discrepancies between current outcomes or conditions and desired outcomes or conditions for an organization or individual (Dick et al., 2014). Some make a distinction between needs assessment and needs analysis, but Larson and Lockee (2014, 2020, 2027) do not. </w:t>
      </w:r>
    </w:p>
    <w:p w14:paraId="1007FBC6"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p>
    <w:p w14:paraId="1D52832B"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bookmarkStart w:id="308" w:name="ID12871"/>
      <w:bookmarkStart w:id="309" w:name="ID12872"/>
      <w:bookmarkEnd w:id="308"/>
      <w:bookmarkEnd w:id="309"/>
      <w:r w:rsidRPr="00910DBA">
        <w:rPr>
          <w:rFonts w:eastAsia="Times New Roman" w:cs="Times New Roman"/>
          <w:b/>
          <w:bCs/>
          <w:szCs w:val="22"/>
        </w:rPr>
        <w:t>Objectives</w:t>
      </w:r>
      <w:r w:rsidRPr="00910DBA">
        <w:rPr>
          <w:rFonts w:eastAsia="Times New Roman" w:cs="Times New Roman"/>
          <w:szCs w:val="22"/>
        </w:rPr>
        <w:t xml:space="preserve"> </w:t>
      </w:r>
      <w:r w:rsidRPr="00910DBA">
        <w:rPr>
          <w:rFonts w:eastAsia="Times New Roman" w:cs="Times New Roman"/>
          <w:szCs w:val="22"/>
        </w:rPr>
        <w:tab/>
      </w:r>
      <w:bookmarkStart w:id="310" w:name="ID12873"/>
      <w:bookmarkEnd w:id="310"/>
      <w:r w:rsidRPr="00910DBA">
        <w:rPr>
          <w:rFonts w:eastAsia="Times New Roman" w:cs="Times New Roman"/>
          <w:szCs w:val="22"/>
        </w:rPr>
        <w:t>Statements of what the learners will be expected to do when they have completed a specified course of instruction, stated in terms of observable performances. Also known as performance objectives, behavioral objectives, and instructional objectives (Dick et al., 2014).</w:t>
      </w:r>
    </w:p>
    <w:p w14:paraId="017ED0DB"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p>
    <w:p w14:paraId="791F18ED"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bookmarkStart w:id="311" w:name="ID12874"/>
      <w:bookmarkStart w:id="312" w:name="ID12875"/>
      <w:bookmarkEnd w:id="311"/>
      <w:bookmarkEnd w:id="312"/>
      <w:r w:rsidRPr="00910DBA">
        <w:rPr>
          <w:rFonts w:eastAsia="Times New Roman" w:cs="Times New Roman"/>
          <w:b/>
          <w:bCs/>
          <w:szCs w:val="22"/>
        </w:rPr>
        <w:t>Paraphrasing</w:t>
      </w:r>
      <w:r w:rsidRPr="00910DBA">
        <w:rPr>
          <w:rFonts w:eastAsia="Times New Roman" w:cs="Times New Roman"/>
          <w:szCs w:val="22"/>
        </w:rPr>
        <w:t xml:space="preserve"> </w:t>
      </w:r>
      <w:r w:rsidRPr="00910DBA">
        <w:rPr>
          <w:rFonts w:eastAsia="Times New Roman" w:cs="Times New Roman"/>
          <w:szCs w:val="22"/>
        </w:rPr>
        <w:tab/>
      </w:r>
      <w:bookmarkStart w:id="313" w:name="ID12876"/>
      <w:bookmarkEnd w:id="313"/>
      <w:r w:rsidRPr="00910DBA">
        <w:rPr>
          <w:rFonts w:eastAsia="Times New Roman" w:cs="Times New Roman"/>
          <w:szCs w:val="22"/>
        </w:rPr>
        <w:t>A situation in which the student reformulates the information in his or her own words (Merrill, 1994).</w:t>
      </w:r>
    </w:p>
    <w:p w14:paraId="390C4538"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p>
    <w:p w14:paraId="26C843CC"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bookmarkStart w:id="314" w:name="ID12877"/>
      <w:bookmarkStart w:id="315" w:name="ID12878"/>
      <w:bookmarkEnd w:id="314"/>
      <w:bookmarkEnd w:id="315"/>
      <w:r w:rsidRPr="00910DBA">
        <w:rPr>
          <w:rFonts w:eastAsia="Times New Roman" w:cs="Times New Roman"/>
          <w:b/>
          <w:bCs/>
          <w:szCs w:val="22"/>
        </w:rPr>
        <w:t xml:space="preserve">Pedagogy </w:t>
      </w:r>
      <w:r w:rsidRPr="00910DBA">
        <w:rPr>
          <w:rFonts w:eastAsia="Times New Roman" w:cs="Times New Roman"/>
          <w:szCs w:val="22"/>
        </w:rPr>
        <w:tab/>
      </w:r>
      <w:bookmarkStart w:id="316" w:name="ID12879"/>
      <w:bookmarkEnd w:id="316"/>
      <w:r w:rsidRPr="00910DBA">
        <w:rPr>
          <w:rFonts w:eastAsia="Times New Roman" w:cs="Times New Roman"/>
          <w:szCs w:val="22"/>
        </w:rPr>
        <w:t xml:space="preserve">The methods, </w:t>
      </w:r>
      <w:proofErr w:type="gramStart"/>
      <w:r w:rsidRPr="00910DBA">
        <w:rPr>
          <w:rFonts w:eastAsia="Times New Roman" w:cs="Times New Roman"/>
          <w:szCs w:val="22"/>
        </w:rPr>
        <w:t>strategies</w:t>
      </w:r>
      <w:proofErr w:type="gramEnd"/>
      <w:r w:rsidRPr="00910DBA">
        <w:rPr>
          <w:rFonts w:eastAsia="Times New Roman" w:cs="Times New Roman"/>
          <w:szCs w:val="22"/>
        </w:rPr>
        <w:t xml:space="preserve"> and practices of teaching, specifically teaching children and young adults.</w:t>
      </w:r>
    </w:p>
    <w:p w14:paraId="6BDDA367"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p>
    <w:p w14:paraId="30D28C66"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bookmarkStart w:id="317" w:name="ID12880"/>
      <w:bookmarkStart w:id="318" w:name="ID12881"/>
      <w:bookmarkEnd w:id="317"/>
      <w:bookmarkEnd w:id="318"/>
      <w:r w:rsidRPr="00910DBA">
        <w:rPr>
          <w:rFonts w:eastAsia="Times New Roman" w:cs="Times New Roman"/>
          <w:b/>
          <w:bCs/>
          <w:szCs w:val="22"/>
        </w:rPr>
        <w:t>Performance analysis</w:t>
      </w:r>
      <w:r w:rsidRPr="00910DBA">
        <w:rPr>
          <w:rFonts w:eastAsia="Times New Roman" w:cs="Times New Roman"/>
          <w:szCs w:val="22"/>
        </w:rPr>
        <w:t xml:space="preserve"> </w:t>
      </w:r>
      <w:r w:rsidRPr="00910DBA">
        <w:rPr>
          <w:rFonts w:eastAsia="Times New Roman" w:cs="Times New Roman"/>
          <w:szCs w:val="22"/>
        </w:rPr>
        <w:tab/>
      </w:r>
      <w:bookmarkStart w:id="319" w:name="ID12882"/>
      <w:bookmarkEnd w:id="319"/>
      <w:r w:rsidRPr="00910DBA">
        <w:rPr>
          <w:rFonts w:eastAsia="Times New Roman" w:cs="Times New Roman"/>
          <w:szCs w:val="22"/>
        </w:rPr>
        <w:t>An analytical process used to locate, analyze, and correct job or product performance problems (Dick et al., 2014).</w:t>
      </w:r>
    </w:p>
    <w:p w14:paraId="1860E0C6"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p>
    <w:p w14:paraId="579BDCDA"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bookmarkStart w:id="320" w:name="ID12883"/>
      <w:bookmarkStart w:id="321" w:name="ID12884"/>
      <w:bookmarkEnd w:id="320"/>
      <w:bookmarkEnd w:id="321"/>
      <w:r w:rsidRPr="00910DBA">
        <w:rPr>
          <w:rFonts w:eastAsia="Times New Roman" w:cs="Times New Roman"/>
          <w:b/>
          <w:bCs/>
          <w:szCs w:val="22"/>
        </w:rPr>
        <w:t>Performance context</w:t>
      </w:r>
      <w:r w:rsidRPr="00910DBA">
        <w:rPr>
          <w:rFonts w:eastAsia="Times New Roman" w:cs="Times New Roman"/>
          <w:szCs w:val="22"/>
        </w:rPr>
        <w:t xml:space="preserve"> </w:t>
      </w:r>
      <w:r w:rsidRPr="00910DBA">
        <w:rPr>
          <w:rFonts w:eastAsia="Times New Roman" w:cs="Times New Roman"/>
          <w:szCs w:val="22"/>
        </w:rPr>
        <w:tab/>
      </w:r>
      <w:bookmarkStart w:id="322" w:name="ID12885"/>
      <w:bookmarkEnd w:id="322"/>
      <w:r w:rsidRPr="00910DBA">
        <w:rPr>
          <w:rFonts w:eastAsia="Times New Roman" w:cs="Times New Roman"/>
          <w:szCs w:val="22"/>
        </w:rPr>
        <w:t>The setting in which it is hoped that learners will successfully use the skills they are learning; includes both the physical and social aspects of the setting (Dick et al., 2014).</w:t>
      </w:r>
    </w:p>
    <w:p w14:paraId="117477A2"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p>
    <w:p w14:paraId="3C1E2C90"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bookmarkStart w:id="323" w:name="ID12886"/>
      <w:bookmarkStart w:id="324" w:name="ID12887"/>
      <w:bookmarkEnd w:id="323"/>
      <w:bookmarkEnd w:id="324"/>
      <w:r w:rsidRPr="00910DBA">
        <w:rPr>
          <w:rFonts w:eastAsia="Times New Roman" w:cs="Times New Roman"/>
          <w:b/>
          <w:bCs/>
          <w:szCs w:val="22"/>
        </w:rPr>
        <w:t>Performance support system</w:t>
      </w:r>
      <w:r w:rsidRPr="00910DBA">
        <w:rPr>
          <w:rFonts w:eastAsia="Times New Roman" w:cs="Times New Roman"/>
          <w:szCs w:val="22"/>
        </w:rPr>
        <w:t xml:space="preserve">s  Scaffolds or supports to improve the performance of an employee or learner. See also Electronic Performance Support System. </w:t>
      </w:r>
    </w:p>
    <w:p w14:paraId="6CA05851"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p>
    <w:p w14:paraId="5E690A9E"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r w:rsidRPr="00910DBA">
        <w:rPr>
          <w:rFonts w:eastAsia="Times New Roman" w:cs="Times New Roman"/>
          <w:b/>
          <w:bCs/>
          <w:szCs w:val="22"/>
        </w:rPr>
        <w:t>Personal learning environment (PLE)</w:t>
      </w:r>
      <w:r w:rsidRPr="00910DBA">
        <w:rPr>
          <w:rFonts w:eastAsia="Times New Roman" w:cs="Times New Roman"/>
          <w:szCs w:val="22"/>
        </w:rPr>
        <w:t xml:space="preserve">  Systems that empower learners to take control of and manage their </w:t>
      </w:r>
      <w:bookmarkStart w:id="325" w:name="ID12888"/>
      <w:bookmarkEnd w:id="325"/>
      <w:r w:rsidRPr="00910DBA">
        <w:rPr>
          <w:rFonts w:eastAsia="Times New Roman" w:cs="Times New Roman"/>
          <w:szCs w:val="22"/>
        </w:rPr>
        <w:t>own learning. These systems can be physical or virtual. The term has been used more recently in conjunction with an emphasis on lifelong learning.</w:t>
      </w:r>
    </w:p>
    <w:p w14:paraId="7EC93E83"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p>
    <w:p w14:paraId="0970361B"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bookmarkStart w:id="326" w:name="ID12889"/>
      <w:bookmarkStart w:id="327" w:name="ID12890"/>
      <w:bookmarkEnd w:id="326"/>
      <w:bookmarkEnd w:id="327"/>
      <w:r w:rsidRPr="00910DBA">
        <w:rPr>
          <w:rFonts w:eastAsia="Times New Roman" w:cs="Times New Roman"/>
          <w:b/>
          <w:bCs/>
          <w:szCs w:val="22"/>
        </w:rPr>
        <w:t>Pilot test</w:t>
      </w:r>
      <w:r w:rsidRPr="00910DBA">
        <w:rPr>
          <w:rFonts w:eastAsia="Times New Roman" w:cs="Times New Roman"/>
          <w:szCs w:val="22"/>
        </w:rPr>
        <w:t xml:space="preserve"> </w:t>
      </w:r>
      <w:r w:rsidRPr="00910DBA">
        <w:rPr>
          <w:rFonts w:eastAsia="Times New Roman" w:cs="Times New Roman"/>
          <w:szCs w:val="22"/>
        </w:rPr>
        <w:tab/>
      </w:r>
      <w:bookmarkStart w:id="328" w:name="ID12891"/>
      <w:bookmarkEnd w:id="328"/>
      <w:r w:rsidRPr="00910DBA">
        <w:rPr>
          <w:rFonts w:eastAsia="Times New Roman" w:cs="Times New Roman"/>
          <w:szCs w:val="22"/>
        </w:rPr>
        <w:t>Trying out and testing instruction or a portion of the instruction with learners representative of the target audience for the purpose of revising and improving the instruction prior to implementation (Lewis &amp; Whitlock, 2003).</w:t>
      </w:r>
    </w:p>
    <w:p w14:paraId="30D86FDE"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p>
    <w:p w14:paraId="7A486B1E" w14:textId="05108EC5"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bookmarkStart w:id="329" w:name="ID12892"/>
      <w:bookmarkStart w:id="330" w:name="ID12893"/>
      <w:bookmarkEnd w:id="329"/>
      <w:bookmarkEnd w:id="330"/>
      <w:r w:rsidRPr="00910DBA">
        <w:rPr>
          <w:rFonts w:eastAsia="Times New Roman" w:cs="Times New Roman"/>
          <w:b/>
          <w:bCs/>
          <w:szCs w:val="22"/>
        </w:rPr>
        <w:t>Podcast</w:t>
      </w:r>
      <w:r w:rsidRPr="00910DBA">
        <w:rPr>
          <w:rFonts w:eastAsia="Times New Roman" w:cs="Times New Roman"/>
          <w:szCs w:val="22"/>
        </w:rPr>
        <w:t xml:space="preserve"> </w:t>
      </w:r>
      <w:r w:rsidRPr="00910DBA">
        <w:rPr>
          <w:rFonts w:eastAsia="Times New Roman" w:cs="Times New Roman"/>
          <w:szCs w:val="22"/>
        </w:rPr>
        <w:tab/>
      </w:r>
      <w:bookmarkStart w:id="331" w:name="ID12894"/>
      <w:bookmarkEnd w:id="331"/>
      <w:r w:rsidRPr="00910DBA">
        <w:rPr>
          <w:rFonts w:eastAsia="Times New Roman" w:cs="Times New Roman"/>
          <w:szCs w:val="22"/>
        </w:rPr>
        <w:t xml:space="preserve">A electronic digital file of a multimedia presentation available for subscription, downloading or streaming via the Internet. It may consist of audio, video, portable document format (pdf) documents, and/or </w:t>
      </w:r>
      <w:proofErr w:type="spellStart"/>
      <w:r w:rsidRPr="00910DBA">
        <w:rPr>
          <w:rFonts w:eastAsia="Times New Roman" w:cs="Times New Roman"/>
          <w:szCs w:val="22"/>
        </w:rPr>
        <w:t>ePub</w:t>
      </w:r>
      <w:proofErr w:type="spellEnd"/>
      <w:r w:rsidRPr="00910DBA">
        <w:rPr>
          <w:rFonts w:eastAsia="Times New Roman" w:cs="Times New Roman"/>
          <w:szCs w:val="22"/>
        </w:rPr>
        <w:t xml:space="preserve"> files.</w:t>
      </w:r>
    </w:p>
    <w:p w14:paraId="47424513"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p>
    <w:p w14:paraId="5460C863"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bookmarkStart w:id="332" w:name="ID12895"/>
      <w:bookmarkStart w:id="333" w:name="ID12896"/>
      <w:bookmarkEnd w:id="332"/>
      <w:bookmarkEnd w:id="333"/>
      <w:r w:rsidRPr="00910DBA">
        <w:rPr>
          <w:rFonts w:eastAsia="Times New Roman" w:cs="Times New Roman"/>
          <w:b/>
          <w:bCs/>
          <w:szCs w:val="22"/>
        </w:rPr>
        <w:t xml:space="preserve">Prerequisites </w:t>
      </w:r>
      <w:r w:rsidRPr="00910DBA">
        <w:rPr>
          <w:rFonts w:eastAsia="Times New Roman" w:cs="Times New Roman"/>
          <w:szCs w:val="22"/>
        </w:rPr>
        <w:tab/>
      </w:r>
      <w:bookmarkStart w:id="334" w:name="ID12897"/>
      <w:bookmarkEnd w:id="334"/>
      <w:r w:rsidRPr="00910DBA">
        <w:rPr>
          <w:rFonts w:eastAsia="Times New Roman" w:cs="Times New Roman"/>
          <w:szCs w:val="22"/>
        </w:rPr>
        <w:t>A term used to describe entry skills and/or knowledge necessary for taking the instruction (Dick et al., 2014).</w:t>
      </w:r>
    </w:p>
    <w:p w14:paraId="1FF459AE"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p>
    <w:p w14:paraId="7C212845"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bookmarkStart w:id="335" w:name="ID12898"/>
      <w:bookmarkStart w:id="336" w:name="ID12899"/>
      <w:bookmarkEnd w:id="335"/>
      <w:bookmarkEnd w:id="336"/>
      <w:r w:rsidRPr="00910DBA">
        <w:rPr>
          <w:rFonts w:eastAsia="Times New Roman" w:cs="Times New Roman"/>
          <w:b/>
          <w:bCs/>
          <w:szCs w:val="22"/>
        </w:rPr>
        <w:t>Pre-tests &amp; post-tests</w:t>
      </w:r>
      <w:r w:rsidRPr="00910DBA">
        <w:rPr>
          <w:rFonts w:eastAsia="Times New Roman" w:cs="Times New Roman"/>
          <w:szCs w:val="22"/>
        </w:rPr>
        <w:t xml:space="preserve"> </w:t>
      </w:r>
      <w:r w:rsidRPr="00910DBA">
        <w:rPr>
          <w:rFonts w:eastAsia="Times New Roman" w:cs="Times New Roman"/>
          <w:szCs w:val="22"/>
        </w:rPr>
        <w:tab/>
      </w:r>
      <w:bookmarkStart w:id="337" w:name="ID12900"/>
      <w:bookmarkEnd w:id="337"/>
      <w:r w:rsidRPr="00910DBA">
        <w:rPr>
          <w:rFonts w:eastAsia="Times New Roman" w:cs="Times New Roman"/>
          <w:szCs w:val="22"/>
        </w:rPr>
        <w:t>A method of measuring learning by using a written, oral, knowledge- or skill-based test before and after instruction. The difference between the learner’s performance on the pre-test and the post-test is taken as a measure of what was learned. Such tests, however, are subject to other influences and may not reflect actual learning (e.g., if the learner is not feeling well when the test is taken, misunderstands the instructions given for taking the tests, etc.) (Davies, 1981).</w:t>
      </w:r>
    </w:p>
    <w:p w14:paraId="1F12EAE3"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p>
    <w:p w14:paraId="33C9B7D8"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bookmarkStart w:id="338" w:name="ID12901"/>
      <w:bookmarkStart w:id="339" w:name="ID12902"/>
      <w:bookmarkEnd w:id="338"/>
      <w:bookmarkEnd w:id="339"/>
      <w:r w:rsidRPr="00910DBA">
        <w:rPr>
          <w:rFonts w:eastAsia="Times New Roman" w:cs="Times New Roman"/>
          <w:b/>
          <w:bCs/>
          <w:szCs w:val="22"/>
        </w:rPr>
        <w:t>Principle formation</w:t>
      </w:r>
      <w:r w:rsidRPr="00910DBA">
        <w:rPr>
          <w:rFonts w:eastAsia="Times New Roman" w:cs="Times New Roman"/>
          <w:szCs w:val="22"/>
        </w:rPr>
        <w:t xml:space="preserve"> </w:t>
      </w:r>
      <w:r w:rsidRPr="00910DBA">
        <w:rPr>
          <w:rFonts w:eastAsia="Times New Roman" w:cs="Times New Roman"/>
          <w:szCs w:val="22"/>
        </w:rPr>
        <w:tab/>
      </w:r>
      <w:bookmarkStart w:id="340" w:name="ID12903"/>
      <w:bookmarkEnd w:id="340"/>
      <w:r w:rsidRPr="00910DBA">
        <w:rPr>
          <w:rFonts w:eastAsia="Times New Roman" w:cs="Times New Roman"/>
          <w:szCs w:val="22"/>
        </w:rPr>
        <w:t>Recognizing a relationship between or amongst concepts.</w:t>
      </w:r>
    </w:p>
    <w:p w14:paraId="5C9EA7D8"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p>
    <w:p w14:paraId="4D99E328"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bookmarkStart w:id="341" w:name="ID12904"/>
      <w:bookmarkStart w:id="342" w:name="ID12905"/>
      <w:bookmarkEnd w:id="341"/>
      <w:bookmarkEnd w:id="342"/>
      <w:r w:rsidRPr="00910DBA">
        <w:rPr>
          <w:rFonts w:eastAsia="Times New Roman" w:cs="Times New Roman"/>
          <w:b/>
          <w:bCs/>
          <w:szCs w:val="22"/>
        </w:rPr>
        <w:t xml:space="preserve">Prior knowledge </w:t>
      </w:r>
      <w:r w:rsidRPr="00910DBA">
        <w:rPr>
          <w:rFonts w:eastAsia="Times New Roman" w:cs="Times New Roman"/>
          <w:b/>
          <w:bCs/>
          <w:szCs w:val="22"/>
        </w:rPr>
        <w:tab/>
      </w:r>
      <w:bookmarkStart w:id="343" w:name="ID12906"/>
      <w:bookmarkEnd w:id="343"/>
      <w:r w:rsidRPr="00910DBA">
        <w:rPr>
          <w:rFonts w:eastAsia="Times New Roman" w:cs="Times New Roman"/>
          <w:szCs w:val="22"/>
        </w:rPr>
        <w:t>A universally-acknowledged prerequisite for learning, prior knowledge refers to content or experiences previously learned that relates to the new topic or task to be learned. A learner’s prior knowledge interacts with new information and instruction and can be sufficient for assimilating the new knowledge, or it may be incomplete, lacking, or incompatible with the knowledge to be learned.</w:t>
      </w:r>
    </w:p>
    <w:p w14:paraId="23AC5FA2"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b/>
          <w:bCs/>
          <w:szCs w:val="22"/>
        </w:rPr>
      </w:pPr>
    </w:p>
    <w:p w14:paraId="26DD851F"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bookmarkStart w:id="344" w:name="ID12907"/>
      <w:bookmarkStart w:id="345" w:name="ID12908"/>
      <w:bookmarkEnd w:id="344"/>
      <w:bookmarkEnd w:id="345"/>
      <w:r w:rsidRPr="00910DBA">
        <w:rPr>
          <w:rFonts w:eastAsia="Times New Roman" w:cs="Times New Roman"/>
          <w:b/>
          <w:bCs/>
          <w:szCs w:val="22"/>
        </w:rPr>
        <w:t>Problem solving</w:t>
      </w:r>
      <w:r w:rsidRPr="00910DBA">
        <w:rPr>
          <w:rFonts w:eastAsia="Times New Roman" w:cs="Times New Roman"/>
          <w:szCs w:val="22"/>
        </w:rPr>
        <w:t xml:space="preserve"> </w:t>
      </w:r>
      <w:r w:rsidRPr="00910DBA">
        <w:rPr>
          <w:rFonts w:eastAsia="Times New Roman" w:cs="Times New Roman"/>
          <w:szCs w:val="22"/>
        </w:rPr>
        <w:tab/>
      </w:r>
      <w:bookmarkStart w:id="346" w:name="ID12909"/>
      <w:bookmarkEnd w:id="346"/>
      <w:r w:rsidRPr="00910DBA">
        <w:rPr>
          <w:rFonts w:eastAsia="Times New Roman" w:cs="Times New Roman"/>
          <w:szCs w:val="22"/>
        </w:rPr>
        <w:t>Analyzing a perplexing or difficult situation for the purpose of generating a solution.</w:t>
      </w:r>
    </w:p>
    <w:p w14:paraId="1B48C3BD"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p>
    <w:p w14:paraId="5189FC75"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bookmarkStart w:id="347" w:name="ID12910"/>
      <w:bookmarkStart w:id="348" w:name="ID12911"/>
      <w:bookmarkEnd w:id="347"/>
      <w:bookmarkEnd w:id="348"/>
      <w:r w:rsidRPr="00910DBA">
        <w:rPr>
          <w:rFonts w:eastAsia="Times New Roman" w:cs="Times New Roman"/>
          <w:b/>
          <w:bCs/>
          <w:szCs w:val="22"/>
        </w:rPr>
        <w:t>Procedural knowledge</w:t>
      </w:r>
      <w:r w:rsidRPr="00910DBA">
        <w:rPr>
          <w:rFonts w:eastAsia="Times New Roman" w:cs="Times New Roman"/>
          <w:szCs w:val="22"/>
        </w:rPr>
        <w:t xml:space="preserve"> </w:t>
      </w:r>
      <w:bookmarkStart w:id="349" w:name="ID12912"/>
      <w:bookmarkEnd w:id="349"/>
      <w:r w:rsidRPr="00910DBA">
        <w:rPr>
          <w:rFonts w:eastAsia="Times New Roman" w:cs="Times New Roman"/>
          <w:szCs w:val="22"/>
        </w:rPr>
        <w:t>Procedural knowledge is knowledge about the various actions or processes important to or involved in a task.</w:t>
      </w:r>
    </w:p>
    <w:p w14:paraId="35A6E354"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p>
    <w:p w14:paraId="5E6BEAA6"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bookmarkStart w:id="350" w:name="ID12913"/>
      <w:bookmarkStart w:id="351" w:name="ID12914"/>
      <w:bookmarkEnd w:id="350"/>
      <w:bookmarkEnd w:id="351"/>
      <w:r w:rsidRPr="00910DBA">
        <w:rPr>
          <w:rFonts w:eastAsia="Times New Roman" w:cs="Times New Roman"/>
          <w:b/>
          <w:bCs/>
          <w:szCs w:val="22"/>
        </w:rPr>
        <w:t xml:space="preserve">Prototype </w:t>
      </w:r>
      <w:r w:rsidRPr="00910DBA">
        <w:rPr>
          <w:rFonts w:eastAsia="Times New Roman" w:cs="Times New Roman"/>
          <w:szCs w:val="22"/>
        </w:rPr>
        <w:tab/>
      </w:r>
      <w:bookmarkStart w:id="352" w:name="ID12915"/>
      <w:bookmarkEnd w:id="352"/>
      <w:r w:rsidRPr="00910DBA">
        <w:rPr>
          <w:rFonts w:eastAsia="Times New Roman" w:cs="Times New Roman"/>
          <w:szCs w:val="22"/>
        </w:rPr>
        <w:t>A preliminary model of instruction used for review and testing purposes.</w:t>
      </w:r>
    </w:p>
    <w:p w14:paraId="6D15DA0A"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p>
    <w:p w14:paraId="7A5A9582"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bookmarkStart w:id="353" w:name="ID12916"/>
      <w:bookmarkStart w:id="354" w:name="ID12917"/>
      <w:bookmarkEnd w:id="353"/>
      <w:bookmarkEnd w:id="354"/>
      <w:r w:rsidRPr="00910DBA">
        <w:rPr>
          <w:rFonts w:eastAsia="Times New Roman" w:cs="Times New Roman"/>
          <w:b/>
          <w:bCs/>
          <w:szCs w:val="22"/>
        </w:rPr>
        <w:t>Psychomotor skill</w:t>
      </w:r>
      <w:r w:rsidRPr="00910DBA">
        <w:rPr>
          <w:rFonts w:eastAsia="Times New Roman" w:cs="Times New Roman"/>
          <w:szCs w:val="22"/>
        </w:rPr>
        <w:t xml:space="preserve"> </w:t>
      </w:r>
      <w:r w:rsidRPr="00910DBA">
        <w:rPr>
          <w:rFonts w:eastAsia="Times New Roman" w:cs="Times New Roman"/>
          <w:szCs w:val="22"/>
        </w:rPr>
        <w:tab/>
      </w:r>
      <w:bookmarkStart w:id="355" w:name="ID12918"/>
      <w:bookmarkEnd w:id="355"/>
      <w:r w:rsidRPr="00910DBA">
        <w:rPr>
          <w:rFonts w:eastAsia="Times New Roman" w:cs="Times New Roman"/>
          <w:szCs w:val="22"/>
        </w:rPr>
        <w:t xml:space="preserve">Execution of a sequence of major or subtle physical actions to achieve a specified result. All skills employ some type of physical action; the physical action in a psychomotor skill is the focus of the new </w:t>
      </w:r>
      <w:proofErr w:type="gramStart"/>
      <w:r w:rsidRPr="00910DBA">
        <w:rPr>
          <w:rFonts w:eastAsia="Times New Roman" w:cs="Times New Roman"/>
          <w:szCs w:val="22"/>
        </w:rPr>
        <w:t>learning, and</w:t>
      </w:r>
      <w:proofErr w:type="gramEnd"/>
      <w:r w:rsidRPr="00910DBA">
        <w:rPr>
          <w:rFonts w:eastAsia="Times New Roman" w:cs="Times New Roman"/>
          <w:szCs w:val="22"/>
        </w:rPr>
        <w:t xml:space="preserve"> is not merely the vehicle for expressing an intellectual skill (Dick et al., 2014).</w:t>
      </w:r>
    </w:p>
    <w:p w14:paraId="0026A161"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p>
    <w:p w14:paraId="6509B12C"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bookmarkStart w:id="356" w:name="ID12919"/>
      <w:bookmarkStart w:id="357" w:name="ID12920"/>
      <w:bookmarkEnd w:id="356"/>
      <w:bookmarkEnd w:id="357"/>
      <w:r w:rsidRPr="00910DBA">
        <w:rPr>
          <w:rFonts w:eastAsia="Times New Roman" w:cs="Times New Roman"/>
          <w:b/>
          <w:bCs/>
          <w:szCs w:val="22"/>
        </w:rPr>
        <w:t>Reciprocal teaching</w:t>
      </w:r>
      <w:r w:rsidRPr="00910DBA">
        <w:rPr>
          <w:rFonts w:eastAsia="Times New Roman" w:cs="Times New Roman"/>
          <w:szCs w:val="22"/>
        </w:rPr>
        <w:t xml:space="preserve"> </w:t>
      </w:r>
      <w:r w:rsidRPr="00910DBA">
        <w:rPr>
          <w:rFonts w:eastAsia="Times New Roman" w:cs="Times New Roman"/>
          <w:szCs w:val="22"/>
        </w:rPr>
        <w:tab/>
      </w:r>
      <w:bookmarkStart w:id="358" w:name="ID12921"/>
      <w:bookmarkEnd w:id="358"/>
      <w:r w:rsidRPr="00910DBA">
        <w:rPr>
          <w:rFonts w:eastAsia="Times New Roman" w:cs="Times New Roman"/>
          <w:szCs w:val="22"/>
        </w:rPr>
        <w:t xml:space="preserve">A strategy for increasing reading comprehension developed by </w:t>
      </w:r>
      <w:proofErr w:type="spellStart"/>
      <w:r w:rsidRPr="00910DBA">
        <w:rPr>
          <w:rFonts w:eastAsia="Times New Roman" w:cs="Times New Roman"/>
          <w:szCs w:val="22"/>
        </w:rPr>
        <w:t>Palincsar</w:t>
      </w:r>
      <w:proofErr w:type="spellEnd"/>
      <w:r w:rsidRPr="00910DBA">
        <w:rPr>
          <w:rFonts w:eastAsia="Times New Roman" w:cs="Times New Roman"/>
          <w:szCs w:val="22"/>
        </w:rPr>
        <w:t xml:space="preserve"> and Brown (1984), that has been proven effective through extensive research. The strategy emphasizes the skills of generating questions, clarifying, </w:t>
      </w:r>
      <w:proofErr w:type="gramStart"/>
      <w:r w:rsidRPr="00910DBA">
        <w:rPr>
          <w:rFonts w:eastAsia="Times New Roman" w:cs="Times New Roman"/>
          <w:szCs w:val="22"/>
        </w:rPr>
        <w:t>summarizing</w:t>
      </w:r>
      <w:proofErr w:type="gramEnd"/>
      <w:r w:rsidRPr="00910DBA">
        <w:rPr>
          <w:rFonts w:eastAsia="Times New Roman" w:cs="Times New Roman"/>
          <w:szCs w:val="22"/>
        </w:rPr>
        <w:t xml:space="preserve"> and predicting. It requires students to summarize what they have read and generate questions about the reading. One learner </w:t>
      </w:r>
      <w:proofErr w:type="gramStart"/>
      <w:r w:rsidRPr="00910DBA">
        <w:rPr>
          <w:rFonts w:eastAsia="Times New Roman" w:cs="Times New Roman"/>
          <w:szCs w:val="22"/>
        </w:rPr>
        <w:t>role-plays</w:t>
      </w:r>
      <w:proofErr w:type="gramEnd"/>
      <w:r w:rsidRPr="00910DBA">
        <w:rPr>
          <w:rFonts w:eastAsia="Times New Roman" w:cs="Times New Roman"/>
          <w:szCs w:val="22"/>
        </w:rPr>
        <w:t xml:space="preserve"> as the teacher and questions the other learners, the teacher functions as a model and coach to assist learners and learners ask questions for clarification.</w:t>
      </w:r>
    </w:p>
    <w:p w14:paraId="3FDEC1E6"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p>
    <w:p w14:paraId="5FC15F68"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bookmarkStart w:id="359" w:name="ID12922"/>
      <w:bookmarkStart w:id="360" w:name="ID12923"/>
      <w:bookmarkEnd w:id="359"/>
      <w:bookmarkEnd w:id="360"/>
      <w:r w:rsidRPr="00910DBA">
        <w:rPr>
          <w:rFonts w:eastAsia="Times New Roman" w:cs="Times New Roman"/>
          <w:b/>
          <w:bCs/>
          <w:szCs w:val="22"/>
        </w:rPr>
        <w:t>Rehearsal</w:t>
      </w:r>
      <w:r w:rsidRPr="00910DBA">
        <w:rPr>
          <w:rFonts w:eastAsia="Times New Roman" w:cs="Times New Roman"/>
          <w:szCs w:val="22"/>
        </w:rPr>
        <w:t xml:space="preserve"> </w:t>
      </w:r>
      <w:r w:rsidRPr="00910DBA">
        <w:rPr>
          <w:rFonts w:eastAsia="Times New Roman" w:cs="Times New Roman"/>
          <w:szCs w:val="22"/>
        </w:rPr>
        <w:tab/>
      </w:r>
      <w:bookmarkStart w:id="361" w:name="ID12924"/>
      <w:bookmarkEnd w:id="361"/>
      <w:r w:rsidRPr="00910DBA">
        <w:rPr>
          <w:rFonts w:eastAsia="Times New Roman" w:cs="Times New Roman"/>
          <w:szCs w:val="22"/>
        </w:rPr>
        <w:t>An encoding strategy that involves repeated processing of information.</w:t>
      </w:r>
    </w:p>
    <w:p w14:paraId="1876043B"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p>
    <w:p w14:paraId="028D110C"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bookmarkStart w:id="362" w:name="ID12925"/>
      <w:bookmarkStart w:id="363" w:name="ID12926"/>
      <w:bookmarkEnd w:id="362"/>
      <w:bookmarkEnd w:id="363"/>
      <w:r w:rsidRPr="00910DBA">
        <w:rPr>
          <w:rFonts w:eastAsia="Times New Roman" w:cs="Times New Roman"/>
          <w:b/>
          <w:bCs/>
          <w:szCs w:val="22"/>
        </w:rPr>
        <w:lastRenderedPageBreak/>
        <w:t>Remembering skills</w:t>
      </w:r>
      <w:r w:rsidRPr="00910DBA">
        <w:rPr>
          <w:rFonts w:eastAsia="Times New Roman" w:cs="Times New Roman"/>
          <w:szCs w:val="22"/>
        </w:rPr>
        <w:t xml:space="preserve"> </w:t>
      </w:r>
      <w:r w:rsidRPr="00910DBA">
        <w:rPr>
          <w:rFonts w:eastAsia="Times New Roman" w:cs="Times New Roman"/>
          <w:szCs w:val="22"/>
        </w:rPr>
        <w:tab/>
      </w:r>
      <w:bookmarkStart w:id="364" w:name="ID12927"/>
      <w:bookmarkEnd w:id="364"/>
      <w:r w:rsidRPr="00910DBA">
        <w:rPr>
          <w:rFonts w:eastAsia="Times New Roman" w:cs="Times New Roman"/>
          <w:szCs w:val="22"/>
        </w:rPr>
        <w:t>A core thinking skill that involves proper encoding and conscious effort to store knowledge in long-term memory so that it can be recalled or recognized when necessary for future use (Sprenger, 2005).</w:t>
      </w:r>
    </w:p>
    <w:p w14:paraId="78D3A304"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p>
    <w:p w14:paraId="6A21D05B"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bookmarkStart w:id="365" w:name="ID12928"/>
      <w:bookmarkStart w:id="366" w:name="ID12929"/>
      <w:bookmarkEnd w:id="365"/>
      <w:bookmarkEnd w:id="366"/>
      <w:r w:rsidRPr="00910DBA">
        <w:rPr>
          <w:rFonts w:eastAsia="Times New Roman" w:cs="Times New Roman"/>
          <w:b/>
          <w:bCs/>
          <w:szCs w:val="22"/>
        </w:rPr>
        <w:t xml:space="preserve">Retrieval </w:t>
      </w:r>
      <w:r w:rsidRPr="00910DBA">
        <w:rPr>
          <w:rFonts w:eastAsia="Times New Roman" w:cs="Times New Roman"/>
          <w:szCs w:val="22"/>
        </w:rPr>
        <w:tab/>
      </w:r>
      <w:bookmarkStart w:id="367" w:name="ID12930"/>
      <w:bookmarkEnd w:id="367"/>
      <w:r w:rsidRPr="00910DBA">
        <w:rPr>
          <w:rFonts w:eastAsia="Times New Roman" w:cs="Times New Roman"/>
          <w:szCs w:val="22"/>
        </w:rPr>
        <w:t>Accessing or remembering previously encoded information.</w:t>
      </w:r>
    </w:p>
    <w:p w14:paraId="2E43263A"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p>
    <w:p w14:paraId="611E3983"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r w:rsidRPr="00910DBA">
        <w:rPr>
          <w:rFonts w:eastAsia="Times New Roman" w:cs="Times New Roman"/>
          <w:b/>
          <w:bCs/>
          <w:szCs w:val="22"/>
        </w:rPr>
        <w:t xml:space="preserve">Return on expectations (ROE)  </w:t>
      </w:r>
      <w:r w:rsidRPr="00910DBA">
        <w:rPr>
          <w:rFonts w:eastAsia="Times New Roman" w:cs="Times New Roman"/>
          <w:szCs w:val="22"/>
        </w:rPr>
        <w:t>In training and development, return on expectations refers to determining the value of a program by assessing the extent to which predefined stakeholder expectations are achieved (</w:t>
      </w:r>
      <w:proofErr w:type="spellStart"/>
      <w:r w:rsidRPr="00910DBA">
        <w:rPr>
          <w:rFonts w:eastAsia="Times New Roman" w:cs="Times New Roman"/>
          <w:szCs w:val="22"/>
          <w:lang w:val="en-GB"/>
        </w:rPr>
        <w:t>Behranghi</w:t>
      </w:r>
      <w:proofErr w:type="spellEnd"/>
      <w:r w:rsidRPr="00910DBA">
        <w:rPr>
          <w:rFonts w:eastAsia="Times New Roman" w:cs="Times New Roman"/>
          <w:szCs w:val="22"/>
          <w:lang w:val="en-GB"/>
        </w:rPr>
        <w:t>, 2020</w:t>
      </w:r>
      <w:r w:rsidRPr="00910DBA">
        <w:rPr>
          <w:rFonts w:eastAsia="Times New Roman" w:cs="Times New Roman"/>
          <w:szCs w:val="22"/>
        </w:rPr>
        <w:t xml:space="preserve">).  </w:t>
      </w:r>
    </w:p>
    <w:p w14:paraId="5F914A81"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p>
    <w:p w14:paraId="63E410A0"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bookmarkStart w:id="368" w:name="ID12931"/>
      <w:bookmarkStart w:id="369" w:name="ID12932"/>
      <w:bookmarkEnd w:id="368"/>
      <w:bookmarkEnd w:id="369"/>
      <w:r w:rsidRPr="00910DBA">
        <w:rPr>
          <w:rFonts w:eastAsia="Times New Roman" w:cs="Times New Roman"/>
          <w:b/>
          <w:bCs/>
          <w:szCs w:val="22"/>
        </w:rPr>
        <w:t xml:space="preserve">Return on investment (ROI) </w:t>
      </w:r>
      <w:r w:rsidRPr="00910DBA">
        <w:rPr>
          <w:rFonts w:eastAsia="Times New Roman" w:cs="Times New Roman"/>
          <w:szCs w:val="22"/>
        </w:rPr>
        <w:t xml:space="preserve"> </w:t>
      </w:r>
      <w:bookmarkStart w:id="370" w:name="ID12933"/>
      <w:bookmarkStart w:id="371" w:name="ID12934"/>
      <w:bookmarkEnd w:id="370"/>
      <w:bookmarkEnd w:id="371"/>
      <w:r w:rsidRPr="00910DBA">
        <w:rPr>
          <w:rFonts w:eastAsia="Times New Roman" w:cs="Times New Roman"/>
          <w:szCs w:val="22"/>
        </w:rPr>
        <w:t>In training and development, the return on the investment is a comparison between the costs incurred for training and the benefits realized from training (Phillips, 2005).</w:t>
      </w:r>
    </w:p>
    <w:p w14:paraId="3F5EBB31"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p>
    <w:p w14:paraId="30402450"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bookmarkStart w:id="372" w:name="ID12935"/>
      <w:bookmarkStart w:id="373" w:name="ID12936"/>
      <w:bookmarkEnd w:id="372"/>
      <w:bookmarkEnd w:id="373"/>
      <w:r w:rsidRPr="00910DBA">
        <w:rPr>
          <w:rFonts w:eastAsia="Times New Roman" w:cs="Times New Roman"/>
          <w:szCs w:val="22"/>
        </w:rPr>
        <w:t xml:space="preserve"> </w:t>
      </w:r>
      <w:r w:rsidRPr="00910DBA">
        <w:rPr>
          <w:rFonts w:eastAsia="Times New Roman" w:cs="Times New Roman"/>
          <w:b/>
          <w:bCs/>
          <w:szCs w:val="22"/>
        </w:rPr>
        <w:t>Root cause analysis</w:t>
      </w:r>
      <w:r w:rsidRPr="00910DBA">
        <w:rPr>
          <w:rFonts w:eastAsia="Times New Roman" w:cs="Times New Roman"/>
          <w:szCs w:val="22"/>
        </w:rPr>
        <w:t xml:space="preserve"> </w:t>
      </w:r>
      <w:r w:rsidRPr="00910DBA">
        <w:rPr>
          <w:rFonts w:eastAsia="Times New Roman" w:cs="Times New Roman"/>
          <w:szCs w:val="22"/>
        </w:rPr>
        <w:tab/>
      </w:r>
      <w:bookmarkStart w:id="374" w:name="ID12937"/>
      <w:bookmarkEnd w:id="374"/>
      <w:r w:rsidRPr="00910DBA">
        <w:rPr>
          <w:rFonts w:eastAsia="Times New Roman" w:cs="Times New Roman"/>
          <w:szCs w:val="22"/>
        </w:rPr>
        <w:t>Determination of the underlying causes of learning or performance needs.</w:t>
      </w:r>
    </w:p>
    <w:p w14:paraId="27BDDEEA"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p>
    <w:p w14:paraId="3A1D8648"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bookmarkStart w:id="375" w:name="ID12938"/>
      <w:bookmarkStart w:id="376" w:name="ID12939"/>
      <w:bookmarkEnd w:id="375"/>
      <w:bookmarkEnd w:id="376"/>
      <w:r w:rsidRPr="00910DBA">
        <w:rPr>
          <w:rFonts w:eastAsia="Times New Roman" w:cs="Times New Roman"/>
          <w:b/>
          <w:bCs/>
          <w:szCs w:val="22"/>
        </w:rPr>
        <w:t>Rubric</w:t>
      </w:r>
      <w:r w:rsidRPr="00910DBA">
        <w:rPr>
          <w:rFonts w:eastAsia="Times New Roman" w:cs="Times New Roman"/>
          <w:szCs w:val="22"/>
        </w:rPr>
        <w:t xml:space="preserve"> </w:t>
      </w:r>
      <w:r w:rsidRPr="00910DBA">
        <w:rPr>
          <w:rFonts w:eastAsia="Times New Roman" w:cs="Times New Roman"/>
          <w:szCs w:val="22"/>
        </w:rPr>
        <w:tab/>
      </w:r>
      <w:bookmarkStart w:id="377" w:name="ID12940"/>
      <w:bookmarkEnd w:id="377"/>
      <w:r w:rsidRPr="00910DBA">
        <w:rPr>
          <w:rFonts w:eastAsia="Times New Roman" w:cs="Times New Roman"/>
          <w:szCs w:val="22"/>
        </w:rPr>
        <w:t>A document that lays out the expectations for an assignment by listing criteria that serve as guidelines for learners and as scoring points for grading. Some rubrics describe different levels of quality and provide point values to be scored for each level.</w:t>
      </w:r>
    </w:p>
    <w:p w14:paraId="19B558BE"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p>
    <w:p w14:paraId="5D1A29AB"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bookmarkStart w:id="378" w:name="ID12941"/>
      <w:bookmarkStart w:id="379" w:name="ID12942"/>
      <w:bookmarkEnd w:id="378"/>
      <w:bookmarkEnd w:id="379"/>
      <w:r w:rsidRPr="00910DBA">
        <w:rPr>
          <w:rFonts w:eastAsia="Times New Roman" w:cs="Times New Roman"/>
          <w:b/>
          <w:bCs/>
          <w:szCs w:val="22"/>
        </w:rPr>
        <w:t>Scaffold</w:t>
      </w:r>
      <w:r w:rsidRPr="00910DBA">
        <w:rPr>
          <w:rFonts w:eastAsia="Times New Roman" w:cs="Times New Roman"/>
          <w:szCs w:val="22"/>
        </w:rPr>
        <w:t xml:space="preserve"> </w:t>
      </w:r>
      <w:r w:rsidRPr="00910DBA">
        <w:rPr>
          <w:rFonts w:eastAsia="Times New Roman" w:cs="Times New Roman"/>
          <w:szCs w:val="22"/>
        </w:rPr>
        <w:tab/>
      </w:r>
      <w:bookmarkStart w:id="380" w:name="ID12943"/>
      <w:bookmarkEnd w:id="380"/>
      <w:r w:rsidRPr="00910DBA">
        <w:rPr>
          <w:rFonts w:eastAsia="Times New Roman" w:cs="Times New Roman"/>
          <w:szCs w:val="22"/>
        </w:rPr>
        <w:t>Scaffolds are learner supports that assist learners when they are not able to complete a learning task on their own (Wood, Bruner, &amp; Ross, 1976).</w:t>
      </w:r>
    </w:p>
    <w:p w14:paraId="4FBD6B3F"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p>
    <w:p w14:paraId="30C83FD5"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bookmarkStart w:id="381" w:name="ID12944"/>
      <w:bookmarkStart w:id="382" w:name="ID12945"/>
      <w:bookmarkEnd w:id="381"/>
      <w:bookmarkEnd w:id="382"/>
      <w:r w:rsidRPr="00910DBA">
        <w:rPr>
          <w:rFonts w:eastAsia="Times New Roman" w:cs="Times New Roman"/>
          <w:b/>
          <w:bCs/>
          <w:szCs w:val="22"/>
        </w:rPr>
        <w:t xml:space="preserve">Schema </w:t>
      </w:r>
      <w:r w:rsidRPr="00910DBA">
        <w:rPr>
          <w:rFonts w:eastAsia="Times New Roman" w:cs="Times New Roman"/>
          <w:szCs w:val="22"/>
        </w:rPr>
        <w:tab/>
      </w:r>
      <w:bookmarkStart w:id="383" w:name="ID12946"/>
      <w:bookmarkEnd w:id="383"/>
      <w:r w:rsidRPr="00910DBA">
        <w:rPr>
          <w:rFonts w:eastAsia="Times New Roman" w:cs="Times New Roman"/>
          <w:szCs w:val="22"/>
        </w:rPr>
        <w:t xml:space="preserve">Mental knowledge structures associated with a specific state, </w:t>
      </w:r>
      <w:proofErr w:type="gramStart"/>
      <w:r w:rsidRPr="00910DBA">
        <w:rPr>
          <w:rFonts w:eastAsia="Times New Roman" w:cs="Times New Roman"/>
          <w:szCs w:val="22"/>
        </w:rPr>
        <w:t>event</w:t>
      </w:r>
      <w:proofErr w:type="gramEnd"/>
      <w:r w:rsidRPr="00910DBA">
        <w:rPr>
          <w:rFonts w:eastAsia="Times New Roman" w:cs="Times New Roman"/>
          <w:szCs w:val="22"/>
        </w:rPr>
        <w:t xml:space="preserve"> or concept.</w:t>
      </w:r>
    </w:p>
    <w:p w14:paraId="0D459018"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p>
    <w:p w14:paraId="40B5A7A9"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bookmarkStart w:id="384" w:name="ID12947"/>
      <w:bookmarkStart w:id="385" w:name="ID12948"/>
      <w:bookmarkEnd w:id="384"/>
      <w:bookmarkEnd w:id="385"/>
      <w:r w:rsidRPr="00910DBA">
        <w:rPr>
          <w:rFonts w:eastAsia="Times New Roman" w:cs="Times New Roman"/>
          <w:b/>
          <w:bCs/>
          <w:szCs w:val="22"/>
        </w:rPr>
        <w:t>SCORM</w:t>
      </w:r>
      <w:r w:rsidRPr="00910DBA">
        <w:rPr>
          <w:rFonts w:eastAsia="Times New Roman" w:cs="Times New Roman"/>
          <w:szCs w:val="22"/>
        </w:rPr>
        <w:t xml:space="preserve"> </w:t>
      </w:r>
      <w:r w:rsidRPr="00910DBA">
        <w:rPr>
          <w:rFonts w:eastAsia="Times New Roman" w:cs="Times New Roman"/>
          <w:szCs w:val="22"/>
        </w:rPr>
        <w:tab/>
      </w:r>
      <w:bookmarkStart w:id="386" w:name="ID12949"/>
      <w:bookmarkEnd w:id="386"/>
      <w:r w:rsidRPr="00910DBA">
        <w:rPr>
          <w:rFonts w:eastAsia="Times New Roman" w:cs="Times New Roman"/>
          <w:szCs w:val="22"/>
        </w:rPr>
        <w:t>Acronym for Sharable Content Object Reference Model. SCORM is a set of standards and specifications that defines communication between the content of web-based instruction and a Learning Management System (LMS). It also defines how to package the content into a ZIP file so that it is easily transferred. The current version of SCORM (2004) provides for adaptive sequencing so that rules can be defined to control a learner’s access to areas of the content.</w:t>
      </w:r>
    </w:p>
    <w:p w14:paraId="13EDC80D"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p>
    <w:p w14:paraId="24206368"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bookmarkStart w:id="387" w:name="ID12950"/>
      <w:bookmarkStart w:id="388" w:name="ID12951"/>
      <w:bookmarkEnd w:id="387"/>
      <w:bookmarkEnd w:id="388"/>
      <w:r w:rsidRPr="00910DBA">
        <w:rPr>
          <w:rFonts w:eastAsia="Times New Roman" w:cs="Times New Roman"/>
          <w:b/>
          <w:bCs/>
          <w:szCs w:val="22"/>
        </w:rPr>
        <w:t xml:space="preserve">Scripts </w:t>
      </w:r>
      <w:r w:rsidRPr="00910DBA">
        <w:rPr>
          <w:rFonts w:eastAsia="Times New Roman" w:cs="Times New Roman"/>
          <w:szCs w:val="22"/>
        </w:rPr>
        <w:tab/>
      </w:r>
      <w:bookmarkStart w:id="389" w:name="ID12952"/>
      <w:bookmarkEnd w:id="389"/>
      <w:r w:rsidRPr="00910DBA">
        <w:rPr>
          <w:rFonts w:eastAsia="Times New Roman" w:cs="Times New Roman"/>
          <w:szCs w:val="22"/>
        </w:rPr>
        <w:t>Mental scripts are schema that describe events. They are temporally organized representations of a common sequence of events, or schema about procedural knowledge that include everyday events (Schank &amp; Abelson, 1977).</w:t>
      </w:r>
    </w:p>
    <w:p w14:paraId="0992479B"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p>
    <w:p w14:paraId="4BD1A8F9"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bookmarkStart w:id="390" w:name="ID12953"/>
      <w:bookmarkStart w:id="391" w:name="ID12954"/>
      <w:bookmarkEnd w:id="390"/>
      <w:bookmarkEnd w:id="391"/>
      <w:r w:rsidRPr="00910DBA">
        <w:rPr>
          <w:rFonts w:eastAsia="Times New Roman" w:cs="Times New Roman"/>
          <w:b/>
          <w:bCs/>
          <w:szCs w:val="22"/>
        </w:rPr>
        <w:t>Self-regulation</w:t>
      </w:r>
      <w:r w:rsidRPr="00910DBA">
        <w:rPr>
          <w:rFonts w:eastAsia="Times New Roman" w:cs="Times New Roman"/>
          <w:szCs w:val="22"/>
        </w:rPr>
        <w:t xml:space="preserve"> </w:t>
      </w:r>
      <w:r w:rsidRPr="00910DBA">
        <w:rPr>
          <w:rFonts w:eastAsia="Times New Roman" w:cs="Times New Roman"/>
          <w:szCs w:val="22"/>
        </w:rPr>
        <w:tab/>
      </w:r>
      <w:bookmarkStart w:id="392" w:name="ID12955"/>
      <w:bookmarkEnd w:id="392"/>
      <w:r w:rsidRPr="00910DBA">
        <w:rPr>
          <w:rFonts w:eastAsia="Times New Roman" w:cs="Times New Roman"/>
          <w:szCs w:val="22"/>
        </w:rPr>
        <w:t>Controlling one’s learning by checking or monitoring one’s progress toward a goal. Self-generated thoughts, feelings, and actions that are planned and cyclically adapted for the attainment of personal goals (</w:t>
      </w:r>
      <w:proofErr w:type="spellStart"/>
      <w:r w:rsidRPr="00910DBA">
        <w:rPr>
          <w:rFonts w:eastAsia="Times New Roman" w:cs="Times New Roman"/>
          <w:szCs w:val="22"/>
        </w:rPr>
        <w:t>Boekaerts</w:t>
      </w:r>
      <w:proofErr w:type="spellEnd"/>
      <w:r w:rsidRPr="00910DBA">
        <w:rPr>
          <w:rFonts w:eastAsia="Times New Roman" w:cs="Times New Roman"/>
          <w:szCs w:val="22"/>
        </w:rPr>
        <w:t xml:space="preserve">, </w:t>
      </w:r>
      <w:proofErr w:type="spellStart"/>
      <w:r w:rsidRPr="00910DBA">
        <w:rPr>
          <w:rFonts w:eastAsia="Times New Roman" w:cs="Times New Roman"/>
          <w:szCs w:val="22"/>
        </w:rPr>
        <w:t>Pintrich</w:t>
      </w:r>
      <w:proofErr w:type="spellEnd"/>
      <w:r w:rsidRPr="00910DBA">
        <w:rPr>
          <w:rFonts w:eastAsia="Times New Roman" w:cs="Times New Roman"/>
          <w:szCs w:val="22"/>
        </w:rPr>
        <w:t>, &amp; Zeidner, 2005).</w:t>
      </w:r>
    </w:p>
    <w:p w14:paraId="454C43FB"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p>
    <w:p w14:paraId="19D8C0C3"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bookmarkStart w:id="393" w:name="ID12956"/>
      <w:bookmarkStart w:id="394" w:name="ID12957"/>
      <w:bookmarkEnd w:id="393"/>
      <w:bookmarkEnd w:id="394"/>
      <w:r w:rsidRPr="00910DBA">
        <w:rPr>
          <w:rFonts w:eastAsia="Times New Roman" w:cs="Times New Roman"/>
          <w:b/>
          <w:bCs/>
          <w:szCs w:val="22"/>
        </w:rPr>
        <w:t>Situated learning</w:t>
      </w:r>
      <w:r w:rsidRPr="00910DBA">
        <w:rPr>
          <w:rFonts w:eastAsia="Times New Roman" w:cs="Times New Roman"/>
          <w:szCs w:val="22"/>
        </w:rPr>
        <w:t xml:space="preserve"> </w:t>
      </w:r>
      <w:r w:rsidRPr="00910DBA">
        <w:rPr>
          <w:rFonts w:eastAsia="Times New Roman" w:cs="Times New Roman"/>
          <w:szCs w:val="22"/>
        </w:rPr>
        <w:tab/>
      </w:r>
      <w:bookmarkStart w:id="395" w:name="ID12958"/>
      <w:bookmarkEnd w:id="395"/>
      <w:r w:rsidRPr="00910DBA">
        <w:rPr>
          <w:rFonts w:eastAsia="Times New Roman" w:cs="Times New Roman"/>
          <w:szCs w:val="22"/>
        </w:rPr>
        <w:t>The concept that learning occurs best through engagement in a process or activity that should be placed in (situated in) a context that is relevant to the learner and the knowledge to be gained (Lave &amp; Wenger, 1991).</w:t>
      </w:r>
    </w:p>
    <w:p w14:paraId="2B67C4BE"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p>
    <w:p w14:paraId="46F386F0"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bookmarkStart w:id="396" w:name="ID12959"/>
      <w:bookmarkStart w:id="397" w:name="ID12960"/>
      <w:bookmarkEnd w:id="396"/>
      <w:bookmarkEnd w:id="397"/>
      <w:r w:rsidRPr="00910DBA">
        <w:rPr>
          <w:rFonts w:eastAsia="Times New Roman" w:cs="Times New Roman"/>
          <w:b/>
          <w:bCs/>
          <w:szCs w:val="22"/>
        </w:rPr>
        <w:t>SMART objectives</w:t>
      </w:r>
      <w:r w:rsidRPr="00910DBA">
        <w:rPr>
          <w:rFonts w:eastAsia="Times New Roman" w:cs="Times New Roman"/>
          <w:szCs w:val="22"/>
        </w:rPr>
        <w:t xml:space="preserve"> </w:t>
      </w:r>
      <w:r w:rsidRPr="00910DBA">
        <w:rPr>
          <w:rFonts w:eastAsia="Times New Roman" w:cs="Times New Roman"/>
          <w:szCs w:val="22"/>
        </w:rPr>
        <w:tab/>
      </w:r>
      <w:bookmarkStart w:id="398" w:name="ID12961"/>
      <w:bookmarkEnd w:id="398"/>
      <w:r w:rsidRPr="00910DBA">
        <w:rPr>
          <w:rFonts w:eastAsia="Times New Roman" w:cs="Times New Roman"/>
          <w:szCs w:val="22"/>
        </w:rPr>
        <w:t>Specific, Measurable, Action-oriented, Realistic, and Timely (Smith, 1994).</w:t>
      </w:r>
    </w:p>
    <w:p w14:paraId="078C7DD5"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p>
    <w:p w14:paraId="33C40349"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bookmarkStart w:id="399" w:name="ID12962"/>
      <w:bookmarkStart w:id="400" w:name="ID12963"/>
      <w:bookmarkEnd w:id="399"/>
      <w:bookmarkEnd w:id="400"/>
      <w:r w:rsidRPr="00910DBA">
        <w:rPr>
          <w:rFonts w:eastAsia="Times New Roman" w:cs="Times New Roman"/>
          <w:b/>
          <w:bCs/>
          <w:szCs w:val="22"/>
        </w:rPr>
        <w:t>Sociological shift</w:t>
      </w:r>
      <w:r w:rsidRPr="00910DBA">
        <w:rPr>
          <w:rFonts w:eastAsia="Times New Roman" w:cs="Times New Roman"/>
          <w:szCs w:val="22"/>
        </w:rPr>
        <w:t xml:space="preserve"> </w:t>
      </w:r>
      <w:r w:rsidRPr="00910DBA">
        <w:rPr>
          <w:rFonts w:eastAsia="Times New Roman" w:cs="Times New Roman"/>
          <w:szCs w:val="22"/>
        </w:rPr>
        <w:tab/>
      </w:r>
      <w:bookmarkStart w:id="401" w:name="ID12964"/>
      <w:bookmarkEnd w:id="401"/>
      <w:r w:rsidRPr="00910DBA">
        <w:rPr>
          <w:rFonts w:eastAsia="Times New Roman" w:cs="Times New Roman"/>
          <w:szCs w:val="22"/>
        </w:rPr>
        <w:t>A paradigm shift that involves how an individual looks at society and elements within a society. In the field of instructional design, this term refers to a designer’s ability to view the design challenge or topic from the viewpoint of the target culture, especially if that culture is different from the designer’s culture.</w:t>
      </w:r>
    </w:p>
    <w:p w14:paraId="01BED620"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p>
    <w:p w14:paraId="11292B7F"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bookmarkStart w:id="402" w:name="ID12965"/>
      <w:bookmarkStart w:id="403" w:name="ID12966"/>
      <w:bookmarkEnd w:id="402"/>
      <w:bookmarkEnd w:id="403"/>
      <w:r w:rsidRPr="00910DBA">
        <w:rPr>
          <w:rFonts w:eastAsia="Times New Roman" w:cs="Times New Roman"/>
          <w:b/>
          <w:bCs/>
          <w:szCs w:val="22"/>
        </w:rPr>
        <w:t xml:space="preserve">Stakeholder </w:t>
      </w:r>
      <w:r w:rsidRPr="00910DBA">
        <w:rPr>
          <w:rFonts w:eastAsia="Times New Roman" w:cs="Times New Roman"/>
          <w:szCs w:val="22"/>
        </w:rPr>
        <w:tab/>
      </w:r>
      <w:bookmarkStart w:id="404" w:name="ID12967"/>
      <w:bookmarkEnd w:id="404"/>
      <w:r w:rsidRPr="00910DBA">
        <w:rPr>
          <w:rFonts w:eastAsia="Times New Roman" w:cs="Times New Roman"/>
          <w:szCs w:val="22"/>
        </w:rPr>
        <w:t>Any individual or group with a “stake” or interest in the instruction being designed and developed. Stakeholders vary by career environment and can include the designer, learners, employees, users, facilitators or instructors, managers, company owners, community residents, patients, etc.</w:t>
      </w:r>
    </w:p>
    <w:p w14:paraId="73765E82"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p>
    <w:p w14:paraId="1F149AFD"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bookmarkStart w:id="405" w:name="ID12968"/>
      <w:bookmarkStart w:id="406" w:name="ID12969"/>
      <w:bookmarkEnd w:id="405"/>
      <w:bookmarkEnd w:id="406"/>
      <w:r w:rsidRPr="00910DBA">
        <w:rPr>
          <w:rFonts w:eastAsia="Times New Roman" w:cs="Times New Roman"/>
          <w:b/>
          <w:bCs/>
          <w:szCs w:val="22"/>
        </w:rPr>
        <w:t>Subject matter expert</w:t>
      </w:r>
      <w:r w:rsidRPr="00910DBA">
        <w:rPr>
          <w:rFonts w:eastAsia="Times New Roman" w:cs="Times New Roman"/>
          <w:szCs w:val="22"/>
        </w:rPr>
        <w:t xml:space="preserve">  </w:t>
      </w:r>
      <w:bookmarkStart w:id="407" w:name="ID12970"/>
      <w:bookmarkEnd w:id="407"/>
      <w:r w:rsidRPr="00910DBA">
        <w:rPr>
          <w:rFonts w:eastAsia="Times New Roman" w:cs="Times New Roman"/>
          <w:szCs w:val="22"/>
        </w:rPr>
        <w:t>A person knowledgeable about a particular content area (Dick et al., 2014).</w:t>
      </w:r>
    </w:p>
    <w:p w14:paraId="748A95D4"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p>
    <w:p w14:paraId="03A2CF85"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bookmarkStart w:id="408" w:name="ID12971"/>
      <w:bookmarkStart w:id="409" w:name="ID12972"/>
      <w:bookmarkEnd w:id="408"/>
      <w:bookmarkEnd w:id="409"/>
      <w:r w:rsidRPr="00910DBA">
        <w:rPr>
          <w:rFonts w:eastAsia="Times New Roman" w:cs="Times New Roman"/>
          <w:b/>
          <w:bCs/>
          <w:szCs w:val="22"/>
        </w:rPr>
        <w:t>Supplantive strategies</w:t>
      </w:r>
      <w:r w:rsidRPr="00910DBA">
        <w:rPr>
          <w:rFonts w:eastAsia="Times New Roman" w:cs="Times New Roman"/>
          <w:szCs w:val="22"/>
        </w:rPr>
        <w:t xml:space="preserve">  </w:t>
      </w:r>
      <w:bookmarkStart w:id="410" w:name="ID12973"/>
      <w:bookmarkEnd w:id="410"/>
      <w:r w:rsidRPr="00910DBA">
        <w:rPr>
          <w:rFonts w:eastAsia="Times New Roman" w:cs="Times New Roman"/>
          <w:szCs w:val="22"/>
        </w:rPr>
        <w:t>Supplantive strategies are those designed to “supplant” or do more of the mental processing for the learner by explicitly stating instructional goals and providing information on how to think about, structure and retain the content (Smith &amp; Ragan, 2005).</w:t>
      </w:r>
    </w:p>
    <w:p w14:paraId="17FFCB34"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p>
    <w:p w14:paraId="4B2351F9"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bookmarkStart w:id="411" w:name="ID12974"/>
      <w:bookmarkStart w:id="412" w:name="ID12975"/>
      <w:bookmarkEnd w:id="411"/>
      <w:bookmarkEnd w:id="412"/>
      <w:r w:rsidRPr="00910DBA">
        <w:rPr>
          <w:rFonts w:eastAsia="Times New Roman" w:cs="Times New Roman"/>
          <w:b/>
          <w:bCs/>
          <w:szCs w:val="22"/>
        </w:rPr>
        <w:t>Synchronous instruction and learning</w:t>
      </w:r>
      <w:r w:rsidRPr="00910DBA">
        <w:rPr>
          <w:rFonts w:eastAsia="Times New Roman" w:cs="Times New Roman"/>
          <w:szCs w:val="22"/>
        </w:rPr>
        <w:t xml:space="preserve">  Synchronous instruction and learning experiences that are provided via a real time delivery mode that features immediate </w:t>
      </w:r>
      <w:bookmarkStart w:id="413" w:name="ID12976"/>
      <w:bookmarkEnd w:id="413"/>
      <w:r w:rsidRPr="00910DBA">
        <w:rPr>
          <w:rFonts w:eastAsia="Times New Roman" w:cs="Times New Roman"/>
          <w:szCs w:val="22"/>
        </w:rPr>
        <w:t>sending and receipt of messages and information amongst participants. This term is typically applied to electronically mediated learning environments but can also be used to refer to face-to-face instructional environments (Lewis &amp; Whitlock, 2003).</w:t>
      </w:r>
    </w:p>
    <w:p w14:paraId="250C8D42"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p>
    <w:p w14:paraId="6D93E19C"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bookmarkStart w:id="414" w:name="ID12977"/>
      <w:bookmarkStart w:id="415" w:name="ID12978"/>
      <w:bookmarkEnd w:id="414"/>
      <w:bookmarkEnd w:id="415"/>
      <w:r w:rsidRPr="00910DBA">
        <w:rPr>
          <w:rFonts w:eastAsia="Times New Roman" w:cs="Times New Roman"/>
          <w:b/>
          <w:bCs/>
          <w:szCs w:val="22"/>
        </w:rPr>
        <w:t xml:space="preserve">Synthesis </w:t>
      </w:r>
      <w:r w:rsidRPr="00910DBA">
        <w:rPr>
          <w:rFonts w:eastAsia="Times New Roman" w:cs="Times New Roman"/>
          <w:szCs w:val="22"/>
        </w:rPr>
        <w:tab/>
      </w:r>
      <w:bookmarkStart w:id="416" w:name="ID12979"/>
      <w:bookmarkEnd w:id="416"/>
      <w:r w:rsidRPr="00910DBA">
        <w:rPr>
          <w:rFonts w:eastAsia="Times New Roman" w:cs="Times New Roman"/>
          <w:szCs w:val="22"/>
        </w:rPr>
        <w:t>Core thinking skills that involve connecting or combining information.</w:t>
      </w:r>
    </w:p>
    <w:p w14:paraId="5D430632"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p>
    <w:p w14:paraId="6F5194FC"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bookmarkStart w:id="417" w:name="ID12980"/>
      <w:bookmarkStart w:id="418" w:name="ID12981"/>
      <w:bookmarkEnd w:id="417"/>
      <w:bookmarkEnd w:id="418"/>
      <w:r w:rsidRPr="00910DBA">
        <w:rPr>
          <w:rFonts w:eastAsia="Times New Roman" w:cs="Times New Roman"/>
          <w:b/>
          <w:bCs/>
          <w:szCs w:val="22"/>
        </w:rPr>
        <w:t>Systematic ID</w:t>
      </w:r>
      <w:r w:rsidRPr="00910DBA">
        <w:rPr>
          <w:rFonts w:eastAsia="Times New Roman" w:cs="Times New Roman"/>
          <w:szCs w:val="22"/>
        </w:rPr>
        <w:t xml:space="preserve"> </w:t>
      </w:r>
      <w:r w:rsidRPr="00910DBA">
        <w:rPr>
          <w:rFonts w:eastAsia="Times New Roman" w:cs="Times New Roman"/>
          <w:szCs w:val="22"/>
        </w:rPr>
        <w:tab/>
      </w:r>
      <w:bookmarkStart w:id="419" w:name="ID12982"/>
      <w:bookmarkEnd w:id="419"/>
      <w:r w:rsidRPr="00910DBA">
        <w:rPr>
          <w:rFonts w:eastAsia="Times New Roman" w:cs="Times New Roman"/>
          <w:szCs w:val="22"/>
        </w:rPr>
        <w:t>Process-oriented approach to ID based on the use of systems theory, employing a set of rules and procedures, reflecting a scientific, problem-solving process (Branch, 2009).</w:t>
      </w:r>
    </w:p>
    <w:p w14:paraId="27CD8C2C"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p>
    <w:p w14:paraId="13873AF2"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bookmarkStart w:id="420" w:name="ID12983"/>
      <w:bookmarkStart w:id="421" w:name="ID12984"/>
      <w:bookmarkEnd w:id="420"/>
      <w:bookmarkEnd w:id="421"/>
      <w:r w:rsidRPr="00910DBA">
        <w:rPr>
          <w:rFonts w:eastAsia="Times New Roman" w:cs="Times New Roman"/>
          <w:b/>
          <w:bCs/>
          <w:szCs w:val="22"/>
        </w:rPr>
        <w:t>Systemic ID</w:t>
      </w:r>
      <w:r w:rsidRPr="00910DBA">
        <w:rPr>
          <w:rFonts w:eastAsia="Times New Roman" w:cs="Times New Roman"/>
          <w:szCs w:val="22"/>
        </w:rPr>
        <w:t xml:space="preserve"> </w:t>
      </w:r>
      <w:r w:rsidRPr="00910DBA">
        <w:rPr>
          <w:rFonts w:eastAsia="Times New Roman" w:cs="Times New Roman"/>
          <w:szCs w:val="22"/>
        </w:rPr>
        <w:tab/>
      </w:r>
      <w:bookmarkStart w:id="422" w:name="ID12985"/>
      <w:bookmarkEnd w:id="422"/>
      <w:r w:rsidRPr="00910DBA">
        <w:rPr>
          <w:rFonts w:eastAsia="Times New Roman" w:cs="Times New Roman"/>
          <w:szCs w:val="22"/>
        </w:rPr>
        <w:t>Instructional design is “systemic” in nature, as all components of the process respond to any stimulus (i.e., changes</w:t>
      </w:r>
      <w:proofErr w:type="gramStart"/>
      <w:r w:rsidRPr="00910DBA">
        <w:rPr>
          <w:rFonts w:eastAsia="Times New Roman" w:cs="Times New Roman"/>
          <w:szCs w:val="22"/>
        </w:rPr>
        <w:t>), or</w:t>
      </w:r>
      <w:proofErr w:type="gramEnd"/>
      <w:r w:rsidRPr="00910DBA">
        <w:rPr>
          <w:rFonts w:eastAsia="Times New Roman" w:cs="Times New Roman"/>
          <w:szCs w:val="22"/>
        </w:rPr>
        <w:t xml:space="preserve"> have the opportunity to respond to any stimulus (Branch, 2009).</w:t>
      </w:r>
    </w:p>
    <w:p w14:paraId="45ED09EA"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p>
    <w:p w14:paraId="31A23219"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bookmarkStart w:id="423" w:name="ID12986"/>
      <w:bookmarkStart w:id="424" w:name="ID12987"/>
      <w:bookmarkEnd w:id="423"/>
      <w:bookmarkEnd w:id="424"/>
      <w:r w:rsidRPr="00910DBA">
        <w:rPr>
          <w:rFonts w:eastAsia="Times New Roman" w:cs="Times New Roman"/>
          <w:b/>
          <w:bCs/>
          <w:szCs w:val="22"/>
        </w:rPr>
        <w:t>Task analysis</w:t>
      </w:r>
      <w:r w:rsidRPr="00910DBA">
        <w:rPr>
          <w:rFonts w:eastAsia="Times New Roman" w:cs="Times New Roman"/>
          <w:szCs w:val="22"/>
        </w:rPr>
        <w:t xml:space="preserve"> </w:t>
      </w:r>
      <w:r w:rsidRPr="00910DBA">
        <w:rPr>
          <w:rFonts w:eastAsia="Times New Roman" w:cs="Times New Roman"/>
          <w:szCs w:val="22"/>
        </w:rPr>
        <w:tab/>
      </w:r>
      <w:bookmarkStart w:id="425" w:name="ID12988"/>
      <w:bookmarkEnd w:id="425"/>
      <w:r w:rsidRPr="00910DBA">
        <w:rPr>
          <w:rFonts w:eastAsia="Times New Roman" w:cs="Times New Roman"/>
          <w:szCs w:val="22"/>
        </w:rPr>
        <w:t>The action of defining the smallest essential part of a job – the task – and breaking it down into its subtasks (U.S. Department of the Coast Guard, Training Division, Force Readiness Command, 2011).</w:t>
      </w:r>
    </w:p>
    <w:p w14:paraId="3668A5A0"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p>
    <w:p w14:paraId="67A6BBF8"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bookmarkStart w:id="426" w:name="ID12989"/>
      <w:bookmarkStart w:id="427" w:name="ID12990"/>
      <w:bookmarkEnd w:id="426"/>
      <w:bookmarkEnd w:id="427"/>
      <w:r w:rsidRPr="00910DBA">
        <w:rPr>
          <w:rFonts w:eastAsia="Times New Roman" w:cs="Times New Roman"/>
          <w:b/>
          <w:bCs/>
          <w:szCs w:val="22"/>
        </w:rPr>
        <w:t>Think aloud strategy</w:t>
      </w:r>
      <w:r w:rsidRPr="00910DBA">
        <w:rPr>
          <w:rFonts w:eastAsia="Times New Roman" w:cs="Times New Roman"/>
          <w:szCs w:val="22"/>
        </w:rPr>
        <w:t xml:space="preserve">  </w:t>
      </w:r>
      <w:bookmarkStart w:id="428" w:name="ID12991"/>
      <w:bookmarkEnd w:id="428"/>
      <w:r w:rsidRPr="00910DBA">
        <w:rPr>
          <w:rFonts w:eastAsia="Times New Roman" w:cs="Times New Roman"/>
          <w:szCs w:val="22"/>
        </w:rPr>
        <w:t>A strategy that requires that learners verbalize their thoughts when reading, solving math problems or responding to questions posed by others. Instructors should model thinking aloud to demonstrate practical and effective ways of approaching problems and other cognitively demanding tasks.</w:t>
      </w:r>
    </w:p>
    <w:p w14:paraId="028618ED"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p>
    <w:p w14:paraId="6D76EAED"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bookmarkStart w:id="429" w:name="ID12992"/>
      <w:bookmarkStart w:id="430" w:name="ID12993"/>
      <w:bookmarkEnd w:id="429"/>
      <w:bookmarkEnd w:id="430"/>
      <w:r w:rsidRPr="00910DBA">
        <w:rPr>
          <w:rFonts w:eastAsia="Times New Roman" w:cs="Times New Roman"/>
          <w:b/>
          <w:bCs/>
          <w:szCs w:val="22"/>
        </w:rPr>
        <w:t xml:space="preserve">Think-pair-share strategy </w:t>
      </w:r>
      <w:r w:rsidRPr="00910DBA">
        <w:rPr>
          <w:rFonts w:eastAsia="Times New Roman" w:cs="Times New Roman"/>
          <w:szCs w:val="22"/>
        </w:rPr>
        <w:t xml:space="preserve"> </w:t>
      </w:r>
      <w:bookmarkStart w:id="431" w:name="ID12994"/>
      <w:bookmarkEnd w:id="431"/>
      <w:r w:rsidRPr="00910DBA">
        <w:rPr>
          <w:rFonts w:eastAsia="Times New Roman" w:cs="Times New Roman"/>
          <w:szCs w:val="22"/>
        </w:rPr>
        <w:t xml:space="preserve">A strategy for engaging learners in a lesson by posing a question, allowing quiet time for learners to reflect and write their individual responses, then pairing students to discuss their answers, and asking each pair to share their </w:t>
      </w:r>
      <w:r w:rsidRPr="00910DBA">
        <w:rPr>
          <w:rFonts w:eastAsia="Times New Roman" w:cs="Times New Roman"/>
          <w:szCs w:val="22"/>
        </w:rPr>
        <w:lastRenderedPageBreak/>
        <w:t xml:space="preserve">conclusions, </w:t>
      </w:r>
      <w:proofErr w:type="gramStart"/>
      <w:r w:rsidRPr="00910DBA">
        <w:rPr>
          <w:rFonts w:eastAsia="Times New Roman" w:cs="Times New Roman"/>
          <w:szCs w:val="22"/>
        </w:rPr>
        <w:t>observations</w:t>
      </w:r>
      <w:proofErr w:type="gramEnd"/>
      <w:r w:rsidRPr="00910DBA">
        <w:rPr>
          <w:rFonts w:eastAsia="Times New Roman" w:cs="Times New Roman"/>
          <w:szCs w:val="22"/>
        </w:rPr>
        <w:t xml:space="preserve"> or viewpoints to the whole group (Walsh &amp; </w:t>
      </w:r>
      <w:proofErr w:type="spellStart"/>
      <w:r w:rsidRPr="00910DBA">
        <w:rPr>
          <w:rFonts w:eastAsia="Times New Roman" w:cs="Times New Roman"/>
          <w:szCs w:val="22"/>
        </w:rPr>
        <w:t>Sattes</w:t>
      </w:r>
      <w:proofErr w:type="spellEnd"/>
      <w:r w:rsidRPr="00910DBA">
        <w:rPr>
          <w:rFonts w:eastAsia="Times New Roman" w:cs="Times New Roman"/>
          <w:szCs w:val="22"/>
        </w:rPr>
        <w:t>, 2005).</w:t>
      </w:r>
    </w:p>
    <w:p w14:paraId="061F7419"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p>
    <w:p w14:paraId="7FB5A025"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bookmarkStart w:id="432" w:name="ID12995"/>
      <w:bookmarkStart w:id="433" w:name="ID12996"/>
      <w:bookmarkEnd w:id="432"/>
      <w:bookmarkEnd w:id="433"/>
      <w:r w:rsidRPr="00910DBA">
        <w:rPr>
          <w:rFonts w:eastAsia="Times New Roman" w:cs="Times New Roman"/>
          <w:b/>
          <w:bCs/>
          <w:szCs w:val="22"/>
        </w:rPr>
        <w:t xml:space="preserve">Transfer </w:t>
      </w:r>
      <w:r w:rsidRPr="00910DBA">
        <w:rPr>
          <w:rFonts w:eastAsia="Times New Roman" w:cs="Times New Roman"/>
          <w:szCs w:val="22"/>
        </w:rPr>
        <w:tab/>
      </w:r>
      <w:bookmarkStart w:id="434" w:name="ID12997"/>
      <w:bookmarkEnd w:id="434"/>
      <w:proofErr w:type="spellStart"/>
      <w:r w:rsidRPr="00910DBA">
        <w:rPr>
          <w:rFonts w:eastAsia="Times New Roman" w:cs="Times New Roman"/>
          <w:szCs w:val="22"/>
        </w:rPr>
        <w:t>Transfer</w:t>
      </w:r>
      <w:proofErr w:type="spellEnd"/>
      <w:r w:rsidRPr="00910DBA">
        <w:rPr>
          <w:rFonts w:eastAsia="Times New Roman" w:cs="Times New Roman"/>
          <w:szCs w:val="22"/>
        </w:rPr>
        <w:t xml:space="preserve"> of learning is “the ability to use and apply knowledge and skills learned in one situation or environment to another situation or environment” (Mariano, 2009). There are several different types of transfer mentioned in the instructional design literature: positive transfer, negative transfer, vertical transfer, lateral transfer, near transfer and far transfer (Haskell, 2000; Kaminski, Foley, &amp; Kaiser, 2013). Methods for fostering transfer of learning include deep learning, </w:t>
      </w:r>
      <w:proofErr w:type="gramStart"/>
      <w:r w:rsidRPr="00910DBA">
        <w:rPr>
          <w:rFonts w:eastAsia="Times New Roman" w:cs="Times New Roman"/>
          <w:szCs w:val="22"/>
        </w:rPr>
        <w:t>awareness</w:t>
      </w:r>
      <w:proofErr w:type="gramEnd"/>
      <w:r w:rsidRPr="00910DBA">
        <w:rPr>
          <w:rFonts w:eastAsia="Times New Roman" w:cs="Times New Roman"/>
          <w:szCs w:val="22"/>
        </w:rPr>
        <w:t xml:space="preserve"> and control of cognition (metacognition), learning discrete facts </w:t>
      </w:r>
      <w:bookmarkStart w:id="435" w:name="ID12998"/>
      <w:bookmarkEnd w:id="435"/>
      <w:r w:rsidRPr="00910DBA">
        <w:rPr>
          <w:rFonts w:eastAsia="Times New Roman" w:cs="Times New Roman"/>
          <w:i/>
          <w:iCs/>
          <w:szCs w:val="22"/>
        </w:rPr>
        <w:t>and</w:t>
      </w:r>
      <w:r w:rsidRPr="00910DBA">
        <w:rPr>
          <w:rFonts w:eastAsia="Times New Roman" w:cs="Times New Roman"/>
          <w:szCs w:val="22"/>
        </w:rPr>
        <w:t xml:space="preserve"> the principles that undergird that knowledge, and instruction that includes multiple and varied examples and contexts (Mariano, 2009).</w:t>
      </w:r>
    </w:p>
    <w:p w14:paraId="75CDAD10"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p>
    <w:p w14:paraId="6E75484E"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bookmarkStart w:id="436" w:name="ID12999"/>
      <w:bookmarkStart w:id="437" w:name="ID13000"/>
      <w:bookmarkEnd w:id="436"/>
      <w:bookmarkEnd w:id="437"/>
      <w:r w:rsidRPr="00910DBA">
        <w:rPr>
          <w:rFonts w:eastAsia="Times New Roman" w:cs="Times New Roman"/>
          <w:b/>
          <w:bCs/>
          <w:szCs w:val="22"/>
        </w:rPr>
        <w:t>Understanding skills</w:t>
      </w:r>
      <w:r w:rsidRPr="00910DBA">
        <w:rPr>
          <w:rFonts w:eastAsia="Times New Roman" w:cs="Times New Roman"/>
          <w:szCs w:val="22"/>
        </w:rPr>
        <w:t xml:space="preserve"> </w:t>
      </w:r>
      <w:r w:rsidRPr="00910DBA">
        <w:rPr>
          <w:rFonts w:eastAsia="Times New Roman" w:cs="Times New Roman"/>
          <w:szCs w:val="22"/>
        </w:rPr>
        <w:tab/>
      </w:r>
      <w:bookmarkStart w:id="438" w:name="ID13001"/>
      <w:bookmarkEnd w:id="438"/>
      <w:r w:rsidRPr="00910DBA">
        <w:rPr>
          <w:rFonts w:eastAsia="Times New Roman" w:cs="Times New Roman"/>
          <w:szCs w:val="22"/>
        </w:rPr>
        <w:t xml:space="preserve">A lower-order thinking skill that involves interpreting, exemplifying, classifying, summarizing, inferring, comparing, and explaining. Wiggins and McTighe (2005) describe six facets that serve as indicators of deep understanding: the ability to explain, interpret, apply knowledge, adopt perspective, empathize, and demonstrate self-knowledge. </w:t>
      </w:r>
    </w:p>
    <w:p w14:paraId="2463BE2A"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p>
    <w:p w14:paraId="21832568"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bookmarkStart w:id="439" w:name="ID13002"/>
      <w:bookmarkStart w:id="440" w:name="ID13003"/>
      <w:bookmarkEnd w:id="439"/>
      <w:bookmarkEnd w:id="440"/>
      <w:r w:rsidRPr="00910DBA">
        <w:rPr>
          <w:rFonts w:eastAsia="Times New Roman" w:cs="Times New Roman"/>
          <w:b/>
          <w:bCs/>
          <w:szCs w:val="22"/>
        </w:rPr>
        <w:t xml:space="preserve">Vodcast </w:t>
      </w:r>
      <w:r w:rsidRPr="00910DBA">
        <w:rPr>
          <w:rFonts w:eastAsia="Times New Roman" w:cs="Times New Roman"/>
          <w:szCs w:val="22"/>
        </w:rPr>
        <w:tab/>
      </w:r>
      <w:bookmarkStart w:id="441" w:name="ID13004"/>
      <w:bookmarkEnd w:id="441"/>
      <w:r w:rsidRPr="00910DBA">
        <w:rPr>
          <w:rFonts w:eastAsia="Times New Roman" w:cs="Times New Roman"/>
          <w:szCs w:val="22"/>
        </w:rPr>
        <w:t>Video-on-demand-casts, or online delivery of video content that is one form of a podcast. (See also Podcast.)</w:t>
      </w:r>
    </w:p>
    <w:p w14:paraId="3F3EB995"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p>
    <w:p w14:paraId="646268CF" w14:textId="4E9EEE54"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bookmarkStart w:id="442" w:name="ID13005"/>
      <w:bookmarkStart w:id="443" w:name="ID13006"/>
      <w:bookmarkEnd w:id="442"/>
      <w:bookmarkEnd w:id="443"/>
      <w:r w:rsidRPr="00910DBA">
        <w:rPr>
          <w:rFonts w:eastAsia="Times New Roman" w:cs="Times New Roman"/>
          <w:b/>
          <w:bCs/>
          <w:szCs w:val="22"/>
        </w:rPr>
        <w:t>Wait Time I and II</w:t>
      </w:r>
      <w:r w:rsidRPr="00910DBA">
        <w:rPr>
          <w:rFonts w:eastAsia="Times New Roman" w:cs="Times New Roman"/>
          <w:szCs w:val="22"/>
        </w:rPr>
        <w:t xml:space="preserve"> </w:t>
      </w:r>
      <w:r w:rsidRPr="00910DBA">
        <w:rPr>
          <w:rFonts w:eastAsia="Times New Roman" w:cs="Times New Roman"/>
          <w:szCs w:val="22"/>
        </w:rPr>
        <w:tab/>
      </w:r>
      <w:bookmarkStart w:id="444" w:name="ID13007"/>
      <w:bookmarkEnd w:id="444"/>
      <w:r w:rsidRPr="00910DBA">
        <w:rPr>
          <w:rFonts w:eastAsia="Times New Roman" w:cs="Times New Roman"/>
          <w:szCs w:val="22"/>
        </w:rPr>
        <w:t xml:space="preserve">Also occurs in the literature as Wait Time 1 and 2. Instructional strategies used when questioning learners. Wait Time I refers to the amount of time that elapses after a question is asked. Wait Time II is the amount of time elapsing between a learner’s response to a question and the questioner’s reaction or comment to that question. Both strategies are intended to encourage learner reflection and elaboration (Walsh &amp; </w:t>
      </w:r>
      <w:proofErr w:type="spellStart"/>
      <w:r w:rsidRPr="00910DBA">
        <w:rPr>
          <w:rFonts w:eastAsia="Times New Roman" w:cs="Times New Roman"/>
          <w:szCs w:val="22"/>
        </w:rPr>
        <w:t>Sattes</w:t>
      </w:r>
      <w:proofErr w:type="spellEnd"/>
      <w:r w:rsidRPr="00910DBA">
        <w:rPr>
          <w:rFonts w:eastAsia="Times New Roman" w:cs="Times New Roman"/>
          <w:szCs w:val="22"/>
        </w:rPr>
        <w:t>, 2005).</w:t>
      </w:r>
    </w:p>
    <w:p w14:paraId="2E5BCBAE" w14:textId="77777777" w:rsidR="00910DBA"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rPr>
      </w:pPr>
    </w:p>
    <w:p w14:paraId="49ADAB67" w14:textId="3182BFBE" w:rsidR="001358A1" w:rsidRPr="00910DBA" w:rsidRDefault="00910DBA" w:rsidP="00910DBA">
      <w:pPr>
        <w:pBdr>
          <w:top w:val="single" w:sz="4" w:space="0" w:color="auto"/>
          <w:left w:val="single" w:sz="4" w:space="0" w:color="auto"/>
          <w:bottom w:val="single" w:sz="4" w:space="0" w:color="auto"/>
          <w:right w:val="single" w:sz="4" w:space="0" w:color="auto"/>
        </w:pBdr>
        <w:tabs>
          <w:tab w:val="left" w:pos="2268"/>
        </w:tabs>
        <w:spacing w:after="0" w:line="240" w:lineRule="auto"/>
        <w:ind w:left="2268" w:hanging="2268"/>
        <w:rPr>
          <w:rFonts w:eastAsia="Times New Roman" w:cs="Times New Roman"/>
          <w:szCs w:val="22"/>
          <w:lang w:val="en-GB"/>
        </w:rPr>
      </w:pPr>
      <w:bookmarkStart w:id="445" w:name="ID13008"/>
      <w:bookmarkStart w:id="446" w:name="ID13009"/>
      <w:bookmarkEnd w:id="445"/>
      <w:bookmarkEnd w:id="446"/>
      <w:r w:rsidRPr="00910DBA">
        <w:rPr>
          <w:rFonts w:eastAsia="Times New Roman" w:cs="Times New Roman"/>
          <w:b/>
          <w:bCs/>
          <w:szCs w:val="22"/>
        </w:rPr>
        <w:t>Well-structured</w:t>
      </w:r>
      <w:r w:rsidRPr="00910DBA">
        <w:rPr>
          <w:rFonts w:eastAsia="Times New Roman" w:cs="Times New Roman"/>
          <w:szCs w:val="22"/>
        </w:rPr>
        <w:t xml:space="preserve"> </w:t>
      </w:r>
      <w:r w:rsidRPr="00910DBA">
        <w:rPr>
          <w:rFonts w:eastAsia="Times New Roman" w:cs="Times New Roman"/>
          <w:szCs w:val="22"/>
        </w:rPr>
        <w:tab/>
      </w:r>
      <w:bookmarkStart w:id="447" w:name="ID13010"/>
      <w:bookmarkEnd w:id="447"/>
      <w:r w:rsidRPr="00910DBA">
        <w:rPr>
          <w:rFonts w:eastAsia="Times New Roman" w:cs="Times New Roman"/>
          <w:szCs w:val="22"/>
        </w:rPr>
        <w:t>Situation in which the nature of the solution is well understood, and there is a generally preferred set of rules to follow to determine the solution to a problem (Jonassen, 1997).</w:t>
      </w:r>
    </w:p>
    <w:sectPr w:rsidR="001358A1" w:rsidRPr="00910DBA" w:rsidSect="00937BB6">
      <w:headerReference w:type="default" r:id="rId8"/>
      <w:footerReference w:type="default" r:id="rId9"/>
      <w:pgSz w:w="12240" w:h="15840"/>
      <w:pgMar w:top="1152" w:right="1152" w:bottom="1152" w:left="1152" w:header="288"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2CB541" w14:textId="77777777" w:rsidR="00B174C6" w:rsidRDefault="00B174C6" w:rsidP="00E25787">
      <w:r>
        <w:separator/>
      </w:r>
    </w:p>
  </w:endnote>
  <w:endnote w:type="continuationSeparator" w:id="0">
    <w:p w14:paraId="176EB2A7" w14:textId="77777777" w:rsidR="00B174C6" w:rsidRDefault="00B174C6" w:rsidP="00E257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A11C0" w14:textId="52A35CEB" w:rsidR="003A27C2" w:rsidRDefault="00B174C6" w:rsidP="00E25787">
    <w:pPr>
      <w:pStyle w:val="Footer"/>
    </w:pPr>
    <w:r>
      <w:pict w14:anchorId="1DFC6CFD">
        <v:rect id="_x0000_i1025" style="width:496.8pt;height:1.5pt;mso-position-horizontal:absolute;mso-position-horizontal-relative:text;mso-position-vertical:absolute;mso-position-vertical-relative:text" o:hralign="center" o:hrstd="t" o:hrnoshade="t" o:hr="t" fillcolor="#18636a" stroked="f"/>
      </w:pict>
    </w:r>
  </w:p>
  <w:sdt>
    <w:sdtPr>
      <w:id w:val="-1055931327"/>
      <w:docPartObj>
        <w:docPartGallery w:val="Page Numbers (Bottom of Page)"/>
        <w:docPartUnique/>
      </w:docPartObj>
    </w:sdtPr>
    <w:sdtEndPr/>
    <w:sdtContent>
      <w:sdt>
        <w:sdtPr>
          <w:id w:val="1431234670"/>
          <w:docPartObj>
            <w:docPartGallery w:val="Page Numbers (Top of Page)"/>
            <w:docPartUnique/>
          </w:docPartObj>
        </w:sdtPr>
        <w:sdtEndPr/>
        <w:sdtContent>
          <w:p w14:paraId="4762E3E2" w14:textId="66EEB075" w:rsidR="003A27C2" w:rsidRPr="003A27C2" w:rsidRDefault="005C2532" w:rsidP="00E25787">
            <w:pPr>
              <w:pStyle w:val="Footer"/>
            </w:pPr>
            <w:r>
              <w:t xml:space="preserve">© </w:t>
            </w:r>
            <w:r w:rsidR="00163349">
              <w:t>202</w:t>
            </w:r>
            <w:r w:rsidR="002D334F">
              <w:t>7</w:t>
            </w:r>
            <w:r w:rsidR="00163349">
              <w:t xml:space="preserve"> Larson &amp; Lockee, Streamlined ID </w:t>
            </w:r>
            <w:r w:rsidR="00DD222C">
              <w:t xml:space="preserve"> </w:t>
            </w:r>
            <w:r w:rsidR="00DD222C">
              <w:tab/>
            </w:r>
            <w:r w:rsidR="00DD222C">
              <w:tab/>
            </w:r>
            <w:r w:rsidR="003A27C2" w:rsidRPr="003A27C2">
              <w:t xml:space="preserve">Page </w:t>
            </w:r>
            <w:r w:rsidR="003A27C2" w:rsidRPr="003A27C2">
              <w:rPr>
                <w:b/>
                <w:bCs/>
              </w:rPr>
              <w:fldChar w:fldCharType="begin"/>
            </w:r>
            <w:r w:rsidR="003A27C2" w:rsidRPr="003A27C2">
              <w:rPr>
                <w:b/>
                <w:bCs/>
              </w:rPr>
              <w:instrText xml:space="preserve"> PAGE </w:instrText>
            </w:r>
            <w:r w:rsidR="003A27C2" w:rsidRPr="003A27C2">
              <w:rPr>
                <w:b/>
                <w:bCs/>
              </w:rPr>
              <w:fldChar w:fldCharType="separate"/>
            </w:r>
            <w:r w:rsidR="003A27C2">
              <w:rPr>
                <w:b/>
                <w:bCs/>
              </w:rPr>
              <w:t>1</w:t>
            </w:r>
            <w:r w:rsidR="003A27C2" w:rsidRPr="003A27C2">
              <w:rPr>
                <w:b/>
                <w:bCs/>
              </w:rPr>
              <w:fldChar w:fldCharType="end"/>
            </w:r>
            <w:r w:rsidR="003A27C2" w:rsidRPr="003A27C2">
              <w:t xml:space="preserve"> of </w:t>
            </w:r>
            <w:r w:rsidR="003A27C2" w:rsidRPr="003A27C2">
              <w:rPr>
                <w:b/>
                <w:bCs/>
              </w:rPr>
              <w:fldChar w:fldCharType="begin"/>
            </w:r>
            <w:r w:rsidR="003A27C2" w:rsidRPr="003A27C2">
              <w:rPr>
                <w:b/>
                <w:bCs/>
              </w:rPr>
              <w:instrText xml:space="preserve"> NUMPAGES  </w:instrText>
            </w:r>
            <w:r w:rsidR="003A27C2" w:rsidRPr="003A27C2">
              <w:rPr>
                <w:b/>
                <w:bCs/>
              </w:rPr>
              <w:fldChar w:fldCharType="separate"/>
            </w:r>
            <w:r w:rsidR="003A27C2">
              <w:rPr>
                <w:b/>
                <w:bCs/>
              </w:rPr>
              <w:t>1</w:t>
            </w:r>
            <w:r w:rsidR="003A27C2" w:rsidRPr="003A27C2">
              <w:rPr>
                <w:b/>
                <w:bCs/>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7F042F" w14:textId="77777777" w:rsidR="00B174C6" w:rsidRDefault="00B174C6" w:rsidP="00E25787">
      <w:r>
        <w:separator/>
      </w:r>
    </w:p>
  </w:footnote>
  <w:footnote w:type="continuationSeparator" w:id="0">
    <w:p w14:paraId="5FE76693" w14:textId="77777777" w:rsidR="00B174C6" w:rsidRDefault="00B174C6" w:rsidP="00E257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808" w:type="dxa"/>
      <w:tblInd w:w="-11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2223"/>
    </w:tblGrid>
    <w:tr w:rsidR="0084008E" w:rsidRPr="009D5B79" w14:paraId="40875567" w14:textId="77777777" w:rsidTr="00EB2D13">
      <w:trPr>
        <w:trHeight w:val="1152"/>
      </w:trPr>
      <w:tc>
        <w:tcPr>
          <w:tcW w:w="11583" w:type="dxa"/>
        </w:tcPr>
        <w:p w14:paraId="27B40743" w14:textId="65942C66" w:rsidR="00195024" w:rsidRPr="009D5B79" w:rsidRDefault="008A5D40" w:rsidP="00937BB6">
          <w:pPr>
            <w:pStyle w:val="Header"/>
            <w:ind w:left="432"/>
            <w:jc w:val="right"/>
          </w:pPr>
          <w:r w:rsidRPr="009D5B79">
            <w:rPr>
              <w:noProof/>
            </w:rPr>
            <w:drawing>
              <wp:inline distT="0" distB="0" distL="0" distR="0" wp14:anchorId="0078341A" wp14:editId="19E48771">
                <wp:extent cx="7486496" cy="804971"/>
                <wp:effectExtent l="0" t="0" r="635" b="0"/>
                <wp:docPr id="21313294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229186" name="Picture 1237229186"/>
                        <pic:cNvPicPr/>
                      </pic:nvPicPr>
                      <pic:blipFill>
                        <a:blip r:embed="rId1"/>
                        <a:stretch>
                          <a:fillRect/>
                        </a:stretch>
                      </pic:blipFill>
                      <pic:spPr>
                        <a:xfrm>
                          <a:off x="0" y="0"/>
                          <a:ext cx="7723659" cy="830471"/>
                        </a:xfrm>
                        <a:prstGeom prst="rect">
                          <a:avLst/>
                        </a:prstGeom>
                      </pic:spPr>
                    </pic:pic>
                  </a:graphicData>
                </a:graphic>
              </wp:inline>
            </w:drawing>
          </w:r>
        </w:p>
      </w:tc>
    </w:tr>
  </w:tbl>
  <w:p w14:paraId="68F409B8" w14:textId="3E646523" w:rsidR="00B63FB2" w:rsidRPr="0038409A" w:rsidRDefault="00B63FB2" w:rsidP="00E257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87846088">
    <w:abstractNumId w:val="8"/>
  </w:num>
  <w:num w:numId="2" w16cid:durableId="1115978778">
    <w:abstractNumId w:val="6"/>
  </w:num>
  <w:num w:numId="3" w16cid:durableId="1670477582">
    <w:abstractNumId w:val="5"/>
  </w:num>
  <w:num w:numId="4" w16cid:durableId="1420561408">
    <w:abstractNumId w:val="4"/>
  </w:num>
  <w:num w:numId="5" w16cid:durableId="597713563">
    <w:abstractNumId w:val="7"/>
  </w:num>
  <w:num w:numId="6" w16cid:durableId="1861427777">
    <w:abstractNumId w:val="3"/>
  </w:num>
  <w:num w:numId="7" w16cid:durableId="210194243">
    <w:abstractNumId w:val="2"/>
  </w:num>
  <w:num w:numId="8" w16cid:durableId="439879740">
    <w:abstractNumId w:val="1"/>
  </w:num>
  <w:num w:numId="9" w16cid:durableId="19003627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3AB7"/>
    <w:rsid w:val="00027DF1"/>
    <w:rsid w:val="00034616"/>
    <w:rsid w:val="0006063C"/>
    <w:rsid w:val="00081F92"/>
    <w:rsid w:val="00083792"/>
    <w:rsid w:val="00135120"/>
    <w:rsid w:val="001356FC"/>
    <w:rsid w:val="001358A1"/>
    <w:rsid w:val="0015074B"/>
    <w:rsid w:val="0015368C"/>
    <w:rsid w:val="00163349"/>
    <w:rsid w:val="00195024"/>
    <w:rsid w:val="001D6824"/>
    <w:rsid w:val="001D7412"/>
    <w:rsid w:val="001E77F3"/>
    <w:rsid w:val="0029639D"/>
    <w:rsid w:val="002D334F"/>
    <w:rsid w:val="002E1374"/>
    <w:rsid w:val="00326F90"/>
    <w:rsid w:val="00345E81"/>
    <w:rsid w:val="0038409A"/>
    <w:rsid w:val="003A27C2"/>
    <w:rsid w:val="004148DD"/>
    <w:rsid w:val="0041598B"/>
    <w:rsid w:val="004940FC"/>
    <w:rsid w:val="0049600B"/>
    <w:rsid w:val="004E759B"/>
    <w:rsid w:val="00561615"/>
    <w:rsid w:val="00596579"/>
    <w:rsid w:val="005C2532"/>
    <w:rsid w:val="00685A38"/>
    <w:rsid w:val="00686810"/>
    <w:rsid w:val="006F30F3"/>
    <w:rsid w:val="007370C3"/>
    <w:rsid w:val="00743026"/>
    <w:rsid w:val="0078610E"/>
    <w:rsid w:val="007B51E9"/>
    <w:rsid w:val="0084008E"/>
    <w:rsid w:val="008600AE"/>
    <w:rsid w:val="008A5D40"/>
    <w:rsid w:val="00910DBA"/>
    <w:rsid w:val="00937BB6"/>
    <w:rsid w:val="009D5B79"/>
    <w:rsid w:val="009F570F"/>
    <w:rsid w:val="00A2065A"/>
    <w:rsid w:val="00A537C4"/>
    <w:rsid w:val="00AA1D8D"/>
    <w:rsid w:val="00B174C6"/>
    <w:rsid w:val="00B47730"/>
    <w:rsid w:val="00B63FB2"/>
    <w:rsid w:val="00C3092A"/>
    <w:rsid w:val="00C86D1F"/>
    <w:rsid w:val="00CB0664"/>
    <w:rsid w:val="00CB77CB"/>
    <w:rsid w:val="00DD222C"/>
    <w:rsid w:val="00DF15EA"/>
    <w:rsid w:val="00E25787"/>
    <w:rsid w:val="00E3791B"/>
    <w:rsid w:val="00EA05A8"/>
    <w:rsid w:val="00EB2D13"/>
    <w:rsid w:val="00F04481"/>
    <w:rsid w:val="00F122F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650B288"/>
  <w14:defaultImageDpi w14:val="300"/>
  <w15:docId w15:val="{C5AA3BFA-27E5-419D-A4F7-25EB5FC739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5787"/>
    <w:pPr>
      <w:spacing w:after="120"/>
    </w:pPr>
    <w:rPr>
      <w:rFonts w:ascii="Aptos" w:hAnsi="Aptos"/>
      <w:szCs w:val="20"/>
    </w:rPr>
  </w:style>
  <w:style w:type="paragraph" w:styleId="Heading1">
    <w:name w:val="heading 1"/>
    <w:basedOn w:val="BrandedHeading"/>
    <w:next w:val="Normal"/>
    <w:link w:val="Heading1Char"/>
    <w:uiPriority w:val="9"/>
    <w:qFormat/>
    <w:rsid w:val="001358A1"/>
    <w:pPr>
      <w:outlineLvl w:val="0"/>
    </w:pPr>
    <w:rPr>
      <w:rFonts w:ascii="Aptos" w:hAnsi="Aptos"/>
      <w:color w:val="18636A"/>
    </w:rPr>
  </w:style>
  <w:style w:type="paragraph" w:styleId="Heading2">
    <w:name w:val="heading 2"/>
    <w:basedOn w:val="BrandedBody"/>
    <w:next w:val="Normal"/>
    <w:link w:val="Heading2Char"/>
    <w:uiPriority w:val="9"/>
    <w:unhideWhenUsed/>
    <w:qFormat/>
    <w:rsid w:val="001358A1"/>
    <w:pPr>
      <w:outlineLvl w:val="1"/>
    </w:pPr>
    <w:rPr>
      <w:rFonts w:ascii="Aptos" w:hAnsi="Aptos"/>
      <w:b/>
      <w:bCs/>
    </w:rPr>
  </w:style>
  <w:style w:type="paragraph" w:styleId="Heading3">
    <w:name w:val="heading 3"/>
    <w:basedOn w:val="Heading2"/>
    <w:next w:val="Normal"/>
    <w:link w:val="Heading3Char"/>
    <w:uiPriority w:val="9"/>
    <w:unhideWhenUsed/>
    <w:qFormat/>
    <w:rsid w:val="001358A1"/>
    <w:pPr>
      <w:outlineLvl w:val="2"/>
    </w:pPr>
    <w:rPr>
      <w:sz w:val="22"/>
      <w:szCs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1358A1"/>
    <w:rPr>
      <w:rFonts w:ascii="Aptos" w:hAnsi="Aptos"/>
      <w:b/>
      <w:color w:val="18636A"/>
      <w:sz w:val="40"/>
    </w:rPr>
  </w:style>
  <w:style w:type="character" w:customStyle="1" w:styleId="Heading2Char">
    <w:name w:val="Heading 2 Char"/>
    <w:basedOn w:val="DefaultParagraphFont"/>
    <w:link w:val="Heading2"/>
    <w:uiPriority w:val="9"/>
    <w:rsid w:val="001358A1"/>
    <w:rPr>
      <w:rFonts w:ascii="Aptos" w:hAnsi="Aptos"/>
      <w:b/>
      <w:bCs/>
      <w:sz w:val="24"/>
    </w:rPr>
  </w:style>
  <w:style w:type="character" w:customStyle="1" w:styleId="Heading3Char">
    <w:name w:val="Heading 3 Char"/>
    <w:basedOn w:val="DefaultParagraphFont"/>
    <w:link w:val="Heading3"/>
    <w:uiPriority w:val="9"/>
    <w:rsid w:val="001358A1"/>
    <w:rPr>
      <w:rFonts w:ascii="Aptos" w:hAnsi="Aptos"/>
      <w:b/>
      <w:bCs/>
      <w:szCs w:val="20"/>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BrandedHeading">
    <w:name w:val="BrandedHeading"/>
    <w:rPr>
      <w:rFonts w:ascii="Calibri" w:hAnsi="Calibri"/>
      <w:b/>
      <w:color w:val="00467F"/>
      <w:sz w:val="40"/>
    </w:rPr>
  </w:style>
  <w:style w:type="paragraph" w:customStyle="1" w:styleId="BrandedBody">
    <w:name w:val="BrandedBody"/>
    <w:rPr>
      <w:rFonts w:ascii="Calibri" w:hAnsi="Calibri"/>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377AEC85318B6F489A039465BFE47D12" ma:contentTypeVersion="10" ma:contentTypeDescription="Create a new document." ma:contentTypeScope="" ma:versionID="ad327897f44d3bc548cd782ba3f50525">
  <xsd:schema xmlns:xsd="http://www.w3.org/2001/XMLSchema" xmlns:xs="http://www.w3.org/2001/XMLSchema" xmlns:p="http://schemas.microsoft.com/office/2006/metadata/properties" xmlns:ns2="61346cd6-482d-4698-b558-8246bb2c71ca" xmlns:ns3="b7b6cfaf-27c2-449b-80ac-84d3ec979ae9" targetNamespace="http://schemas.microsoft.com/office/2006/metadata/properties" ma:root="true" ma:fieldsID="41f9eb688bc5838e1d348ffbf5cdafd5" ns2:_="" ns3:_="">
    <xsd:import namespace="61346cd6-482d-4698-b558-8246bb2c71ca"/>
    <xsd:import namespace="b7b6cfaf-27c2-449b-80ac-84d3ec979ae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346cd6-482d-4698-b558-8246bb2c71c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bdc0606b-8e5a-4aee-a68c-f4efcab0e83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7b6cfaf-27c2-449b-80ac-84d3ec979ae9"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1c223cbf-e69a-4262-9b37-79cb092d38cc}" ma:internalName="TaxCatchAll" ma:showField="CatchAllData" ma:web="b7b6cfaf-27c2-449b-80ac-84d3ec979ae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b7b6cfaf-27c2-449b-80ac-84d3ec979ae9" xsi:nil="true"/>
    <lcf76f155ced4ddcb4097134ff3c332f xmlns="61346cd6-482d-4698-b558-8246bb2c71c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07A8DDED-A636-430F-B785-BD14A25D352B}"/>
</file>

<file path=customXml/itemProps3.xml><?xml version="1.0" encoding="utf-8"?>
<ds:datastoreItem xmlns:ds="http://schemas.openxmlformats.org/officeDocument/2006/customXml" ds:itemID="{C9A04E87-02E5-45C6-B0D0-B51F531C1807}"/>
</file>

<file path=customXml/itemProps4.xml><?xml version="1.0" encoding="utf-8"?>
<ds:datastoreItem xmlns:ds="http://schemas.openxmlformats.org/officeDocument/2006/customXml" ds:itemID="{168F17BB-1D25-4385-92CE-594682FF6F3C}"/>
</file>

<file path=docProps/app.xml><?xml version="1.0" encoding="utf-8"?>
<Properties xmlns="http://schemas.openxmlformats.org/officeDocument/2006/extended-properties" xmlns:vt="http://schemas.openxmlformats.org/officeDocument/2006/docPropsVTypes">
  <Template>Normal.dotm</Template>
  <TotalTime>9</TotalTime>
  <Pages>15</Pages>
  <Words>5587</Words>
  <Characters>32744</Characters>
  <Application>Microsoft Office Word</Application>
  <DocSecurity>0</DocSecurity>
  <Lines>682</Lines>
  <Paragraphs>153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38337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Larson, Miriam</cp:lastModifiedBy>
  <cp:revision>12</cp:revision>
  <dcterms:created xsi:type="dcterms:W3CDTF">2026-05-18T23:43:00Z</dcterms:created>
  <dcterms:modified xsi:type="dcterms:W3CDTF">2026-05-31T01:38:00Z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0x010100377AEC85318B6F489A039465BFE47D12</vt:lpwstr>
  </property>
</Properties>
</file>