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C2D06" w14:textId="799A0663" w:rsidR="008F36AE" w:rsidRDefault="008A684C" w:rsidP="00700E74">
      <w:pPr>
        <w:pStyle w:val="Heading1"/>
        <w:pBdr>
          <w:bottom w:val="single" w:sz="4" w:space="1" w:color="auto"/>
        </w:pBdr>
      </w:pPr>
      <w:r>
        <w:t>Streamlined ID – Integrating Ethics into Your ID Class</w:t>
      </w:r>
      <w:r w:rsidR="00700E74">
        <w:br/>
      </w:r>
      <w:r>
        <w:t>Instructor Guide</w:t>
      </w:r>
    </w:p>
    <w:p w14:paraId="74D9D10D" w14:textId="1E151584" w:rsidR="008A684C" w:rsidRDefault="008A684C">
      <w:r>
        <w:t xml:space="preserve">Many topics related to ethics could certainly fill an entirely separate course, but if you don’t have room in your curriculum for another course, here are some ideas for how you can incorporate ethics into your ID class </w:t>
      </w:r>
      <w:r w:rsidR="007B435C">
        <w:t xml:space="preserve">with some light touches </w:t>
      </w:r>
      <w:r>
        <w:t xml:space="preserve">without over-packing the </w:t>
      </w:r>
      <w:r w:rsidR="009A1A83">
        <w:t>course</w:t>
      </w:r>
      <w:r>
        <w:t xml:space="preserve">. For more details, see this open resource from Moore &amp; Tillberg-Webb (2024): </w:t>
      </w:r>
      <w:hyperlink r:id="rId7" w:history="1">
        <w:r w:rsidRPr="008A684C">
          <w:rPr>
            <w:rStyle w:val="Hyperlink"/>
          </w:rPr>
          <w:t>Integrating Ethics into Instructional Design Courses and Curricula</w:t>
        </w:r>
      </w:hyperlink>
      <w:r>
        <w:t>.</w:t>
      </w:r>
    </w:p>
    <w:p w14:paraId="57E7F87B" w14:textId="77777777" w:rsidR="008A684C" w:rsidRDefault="008A684C"/>
    <w:p w14:paraId="31DBD733" w14:textId="0E2CFDF4" w:rsidR="008A684C" w:rsidRDefault="00D43C9F" w:rsidP="00D43C9F">
      <w:pPr>
        <w:pStyle w:val="Heading2"/>
      </w:pPr>
      <w:r>
        <w:t>Ethics in Problem Framing</w:t>
      </w:r>
    </w:p>
    <w:p w14:paraId="4092B975" w14:textId="24F3FFE6" w:rsidR="008A684C" w:rsidRDefault="00D43C9F">
      <w:r>
        <w:t xml:space="preserve">Along with Chapters 1 or 2 in </w:t>
      </w:r>
      <w:r w:rsidRPr="00D43C9F">
        <w:rPr>
          <w:i/>
          <w:iCs/>
        </w:rPr>
        <w:t>Streamlined ID</w:t>
      </w:r>
      <w:r>
        <w:t>, incorporate the following activity and readings:</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125"/>
      </w:tblGrid>
      <w:tr w:rsidR="00D43C9F" w:rsidRPr="00D43C9F" w14:paraId="0D4AA66A" w14:textId="77777777" w:rsidTr="00D43C9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14:paraId="6DA9E30E" w14:textId="77777777" w:rsidR="00D43C9F" w:rsidRPr="00D43C9F" w:rsidRDefault="00D43C9F" w:rsidP="00D43C9F">
            <w:pPr>
              <w:spacing w:after="160" w:line="259" w:lineRule="auto"/>
            </w:pPr>
            <w:r w:rsidRPr="00D43C9F">
              <w:t>Framing Activity</w:t>
            </w:r>
          </w:p>
        </w:tc>
        <w:tc>
          <w:tcPr>
            <w:tcW w:w="0" w:type="auto"/>
            <w:hideMark/>
          </w:tcPr>
          <w:p w14:paraId="297875C4" w14:textId="77777777" w:rsidR="00D43C9F" w:rsidRPr="00D43C9F" w:rsidRDefault="00D43C9F" w:rsidP="00D43C9F">
            <w:pPr>
              <w:spacing w:after="160" w:line="259" w:lineRule="auto"/>
              <w:cnfStyle w:val="100000000000" w:firstRow="1" w:lastRow="0" w:firstColumn="0" w:lastColumn="0" w:oddVBand="0" w:evenVBand="0" w:oddHBand="0" w:evenHBand="0" w:firstRowFirstColumn="0" w:firstRowLastColumn="0" w:lastRowFirstColumn="0" w:lastRowLastColumn="0"/>
            </w:pPr>
            <w:r w:rsidRPr="00D43C9F">
              <w:t>Additional Readings</w:t>
            </w:r>
          </w:p>
        </w:tc>
      </w:tr>
      <w:tr w:rsidR="00D43C9F" w:rsidRPr="00D43C9F" w14:paraId="31FBCBC7" w14:textId="77777777" w:rsidTr="00D43C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Borders>
              <w:top w:val="none" w:sz="0" w:space="0" w:color="auto"/>
              <w:bottom w:val="none" w:sz="0" w:space="0" w:color="auto"/>
              <w:right w:val="none" w:sz="0" w:space="0" w:color="auto"/>
            </w:tcBorders>
            <w:hideMark/>
          </w:tcPr>
          <w:p w14:paraId="03DEEB8E" w14:textId="77777777" w:rsidR="00D43C9F" w:rsidRPr="00D43C9F" w:rsidRDefault="00D43C9F" w:rsidP="00D43C9F">
            <w:pPr>
              <w:spacing w:after="160" w:line="259" w:lineRule="auto"/>
              <w:rPr>
                <w:b w:val="0"/>
                <w:bCs w:val="0"/>
              </w:rPr>
            </w:pPr>
            <w:r w:rsidRPr="00D43C9F">
              <w:rPr>
                <w:b w:val="0"/>
                <w:bCs w:val="0"/>
              </w:rPr>
              <w:t>We solve the problems that we frame. Are there important ethical considerations that are part of the problem that you’re working on? Are there needs – such as safety, health and well-being, security, or accessibility – that are essential to the instruction you’re designing? For example, if you’re designing a workout routine for student athletes or casual health practices, should safety (e.g. preventing heat exhaustion or injury) be central alongside learning goals?</w:t>
            </w:r>
          </w:p>
        </w:tc>
        <w:tc>
          <w:tcPr>
            <w:tcW w:w="5125" w:type="dxa"/>
            <w:tcBorders>
              <w:top w:val="none" w:sz="0" w:space="0" w:color="auto"/>
              <w:bottom w:val="none" w:sz="0" w:space="0" w:color="auto"/>
            </w:tcBorders>
            <w:hideMark/>
          </w:tcPr>
          <w:p w14:paraId="19FF5F29" w14:textId="77777777" w:rsidR="00D43C9F" w:rsidRPr="00D43C9F" w:rsidRDefault="00D43C9F" w:rsidP="00D43C9F">
            <w:pPr>
              <w:spacing w:after="160" w:line="259" w:lineRule="auto"/>
              <w:cnfStyle w:val="000000100000" w:firstRow="0" w:lastRow="0" w:firstColumn="0" w:lastColumn="0" w:oddVBand="0" w:evenVBand="0" w:oddHBand="1" w:evenHBand="0" w:firstRowFirstColumn="0" w:firstRowLastColumn="0" w:lastRowFirstColumn="0" w:lastRowLastColumn="0"/>
            </w:pPr>
            <w:r w:rsidRPr="00D43C9F">
              <w:t xml:space="preserve">Svihla, V. (2021). Problem Framing. </w:t>
            </w:r>
            <w:r w:rsidRPr="00D43C9F">
              <w:rPr>
                <w:i/>
                <w:iCs/>
              </w:rPr>
              <w:t xml:space="preserve">Design for Learning: Principles, Processes, and </w:t>
            </w:r>
            <w:proofErr w:type="spellStart"/>
            <w:r w:rsidRPr="00D43C9F">
              <w:rPr>
                <w:i/>
                <w:iCs/>
              </w:rPr>
              <w:t>Praxis.</w:t>
            </w:r>
            <w:hyperlink r:id="rId8" w:history="1">
              <w:r w:rsidRPr="00D43C9F">
                <w:rPr>
                  <w:rStyle w:val="Hyperlink"/>
                </w:rPr>
                <w:t>https</w:t>
              </w:r>
              <w:proofErr w:type="spellEnd"/>
              <w:r w:rsidRPr="00D43C9F">
                <w:rPr>
                  <w:rStyle w:val="Hyperlink"/>
                </w:rPr>
                <w:t>://edtechbooks.org/id/</w:t>
              </w:r>
              <w:proofErr w:type="spellStart"/>
              <w:r w:rsidRPr="00D43C9F">
                <w:rPr>
                  <w:rStyle w:val="Hyperlink"/>
                </w:rPr>
                <w:t>problem_framing</w:t>
              </w:r>
              <w:proofErr w:type="spellEnd"/>
            </w:hyperlink>
          </w:p>
          <w:p w14:paraId="74F260B0" w14:textId="77777777" w:rsidR="00D43C9F" w:rsidRPr="00D43C9F" w:rsidRDefault="00D43C9F" w:rsidP="00D43C9F">
            <w:pPr>
              <w:spacing w:after="160" w:line="259" w:lineRule="auto"/>
              <w:cnfStyle w:val="000000100000" w:firstRow="0" w:lastRow="0" w:firstColumn="0" w:lastColumn="0" w:oddVBand="0" w:evenVBand="0" w:oddHBand="1" w:evenHBand="0" w:firstRowFirstColumn="0" w:firstRowLastColumn="0" w:lastRowFirstColumn="0" w:lastRowLastColumn="0"/>
            </w:pPr>
            <w:r w:rsidRPr="00D43C9F">
              <w:t>Moore &amp; Tillberg-Webb (2023), Ethics &amp; Ed Tech Ch. 3 – The Designer’s Presence (covers problem framing and ethics)</w:t>
            </w:r>
          </w:p>
          <w:p w14:paraId="11743401" w14:textId="77777777" w:rsidR="00D43C9F" w:rsidRPr="00D43C9F" w:rsidRDefault="00D43C9F" w:rsidP="00D43C9F">
            <w:pPr>
              <w:spacing w:after="160" w:line="259" w:lineRule="auto"/>
              <w:cnfStyle w:val="000000100000" w:firstRow="0" w:lastRow="0" w:firstColumn="0" w:lastColumn="0" w:oddVBand="0" w:evenVBand="0" w:oddHBand="1" w:evenHBand="0" w:firstRowFirstColumn="0" w:firstRowLastColumn="0" w:lastRowFirstColumn="0" w:lastRowLastColumn="0"/>
            </w:pPr>
            <w:r w:rsidRPr="00D43C9F">
              <w:t xml:space="preserve">Stefaniak, J. E. (2021). Conducting Needs Assessments to Inform Instructional Design Practices and Decisions. </w:t>
            </w:r>
            <w:r w:rsidRPr="00D43C9F">
              <w:rPr>
                <w:i/>
                <w:iCs/>
              </w:rPr>
              <w:t>A Practitioner's Guide to Instructional Design in Higher Education</w:t>
            </w:r>
            <w:r w:rsidRPr="00D43C9F">
              <w:t xml:space="preserve">. </w:t>
            </w:r>
            <w:hyperlink r:id="rId9" w:history="1">
              <w:r w:rsidRPr="00D43C9F">
                <w:rPr>
                  <w:rStyle w:val="Hyperlink"/>
                </w:rPr>
                <w:t>https://doi.org/10.59668/164.4543</w:t>
              </w:r>
            </w:hyperlink>
          </w:p>
        </w:tc>
      </w:tr>
    </w:tbl>
    <w:p w14:paraId="1C464042" w14:textId="77777777" w:rsidR="00D43C9F" w:rsidRDefault="00D43C9F"/>
    <w:p w14:paraId="67D8E4A6" w14:textId="1CC6D9A1" w:rsidR="00043A2A" w:rsidRDefault="00043A2A" w:rsidP="008663F4">
      <w:pPr>
        <w:pStyle w:val="Heading2"/>
      </w:pPr>
      <w:r>
        <w:t>Being a Reflective Practitioner</w:t>
      </w:r>
    </w:p>
    <w:p w14:paraId="3D2E3269" w14:textId="4ED8DECC" w:rsidR="00043A2A" w:rsidRDefault="008663F4">
      <w:r>
        <w:t>As part of the introduction (e.g., in weeks 1 or 2), introduce the idea of reflective practitioner.</w:t>
      </w:r>
    </w:p>
    <w:tbl>
      <w:tblPr>
        <w:tblStyle w:val="ListTable3-Accent1"/>
        <w:tblW w:w="0" w:type="auto"/>
        <w:tblLook w:val="04A0" w:firstRow="1" w:lastRow="0" w:firstColumn="1" w:lastColumn="0" w:noHBand="0" w:noVBand="1"/>
      </w:tblPr>
      <w:tblGrid>
        <w:gridCol w:w="3084"/>
        <w:gridCol w:w="6266"/>
      </w:tblGrid>
      <w:tr w:rsidR="008663F4" w:rsidRPr="008663F4" w14:paraId="7601471E" w14:textId="77777777" w:rsidTr="008663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B670E1E" w14:textId="77777777" w:rsidR="008663F4" w:rsidRPr="008663F4" w:rsidRDefault="008663F4" w:rsidP="008663F4">
            <w:pPr>
              <w:spacing w:after="160" w:line="259" w:lineRule="auto"/>
            </w:pPr>
            <w:r w:rsidRPr="008663F4">
              <w:t>Framing</w:t>
            </w:r>
          </w:p>
        </w:tc>
        <w:tc>
          <w:tcPr>
            <w:tcW w:w="0" w:type="auto"/>
            <w:hideMark/>
          </w:tcPr>
          <w:p w14:paraId="3B959EFE" w14:textId="0F34E1D0" w:rsidR="008663F4" w:rsidRPr="008663F4" w:rsidRDefault="008663F4" w:rsidP="008663F4">
            <w:pPr>
              <w:spacing w:after="160" w:line="259" w:lineRule="auto"/>
              <w:cnfStyle w:val="100000000000" w:firstRow="1" w:lastRow="0" w:firstColumn="0" w:lastColumn="0" w:oddVBand="0" w:evenVBand="0" w:oddHBand="0" w:evenHBand="0" w:firstRowFirstColumn="0" w:firstRowLastColumn="0" w:lastRowFirstColumn="0" w:lastRowLastColumn="0"/>
            </w:pPr>
            <w:r>
              <w:t xml:space="preserve">Possible </w:t>
            </w:r>
            <w:r w:rsidRPr="008663F4">
              <w:t>Additional Reading</w:t>
            </w:r>
            <w:r>
              <w:t>s</w:t>
            </w:r>
          </w:p>
        </w:tc>
      </w:tr>
      <w:tr w:rsidR="008663F4" w:rsidRPr="008663F4" w14:paraId="09EA40E1" w14:textId="77777777" w:rsidTr="008663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1249BA" w14:textId="77777777" w:rsidR="008663F4" w:rsidRPr="008663F4" w:rsidRDefault="008663F4" w:rsidP="008663F4">
            <w:pPr>
              <w:spacing w:after="160" w:line="259" w:lineRule="auto"/>
              <w:rPr>
                <w:b w:val="0"/>
                <w:bCs w:val="0"/>
              </w:rPr>
            </w:pPr>
            <w:r w:rsidRPr="008663F4">
              <w:rPr>
                <w:b w:val="0"/>
                <w:bCs w:val="0"/>
              </w:rPr>
              <w:t>Avoiding “mimetic” or “calculative” instructional design that can wax reductive. Instead, as professionals, we have to be ready to tackle the complexity and approach our work as a craft with moral dimensions.</w:t>
            </w:r>
          </w:p>
        </w:tc>
        <w:tc>
          <w:tcPr>
            <w:tcW w:w="0" w:type="auto"/>
            <w:hideMark/>
          </w:tcPr>
          <w:p w14:paraId="1AA339EB" w14:textId="77777777" w:rsidR="008663F4" w:rsidRPr="008663F4" w:rsidRDefault="008663F4" w:rsidP="008663F4">
            <w:pPr>
              <w:spacing w:after="160" w:line="259" w:lineRule="auto"/>
              <w:cnfStyle w:val="000000100000" w:firstRow="0" w:lastRow="0" w:firstColumn="0" w:lastColumn="0" w:oddVBand="0" w:evenVBand="0" w:oddHBand="1" w:evenHBand="0" w:firstRowFirstColumn="0" w:firstRowLastColumn="0" w:lastRowFirstColumn="0" w:lastRowLastColumn="0"/>
            </w:pPr>
            <w:r w:rsidRPr="008663F4">
              <w:t xml:space="preserve">McDonald, J. &amp; Costa, I. (2024). A critique of calculation and </w:t>
            </w:r>
            <w:proofErr w:type="spellStart"/>
            <w:r w:rsidRPr="008663F4">
              <w:t>optionalization</w:t>
            </w:r>
            <w:proofErr w:type="spellEnd"/>
            <w:r w:rsidRPr="008663F4">
              <w:t xml:space="preserve"> applied to online / blended course design. </w:t>
            </w:r>
            <w:r w:rsidRPr="008663F4">
              <w:rPr>
                <w:i/>
                <w:iCs/>
              </w:rPr>
              <w:t>Journal of Computing in Higher Education</w:t>
            </w:r>
            <w:r w:rsidRPr="008663F4">
              <w:t>.</w:t>
            </w:r>
            <w:hyperlink r:id="rId10" w:history="1">
              <w:r w:rsidRPr="008663F4">
                <w:rPr>
                  <w:rStyle w:val="Hyperlink"/>
                </w:rPr>
                <w:t xml:space="preserve"> </w:t>
              </w:r>
            </w:hyperlink>
            <w:hyperlink r:id="rId11" w:history="1">
              <w:r w:rsidRPr="008663F4">
                <w:rPr>
                  <w:rStyle w:val="Hyperlink"/>
                </w:rPr>
                <w:t>https://link.springer.com/article/10.1007/s12528-024-09409-1</w:t>
              </w:r>
            </w:hyperlink>
          </w:p>
          <w:p w14:paraId="02F19B94" w14:textId="77777777" w:rsidR="008663F4" w:rsidRPr="008663F4" w:rsidRDefault="008663F4" w:rsidP="008663F4">
            <w:pPr>
              <w:spacing w:after="160" w:line="259" w:lineRule="auto"/>
              <w:cnfStyle w:val="000000100000" w:firstRow="0" w:lastRow="0" w:firstColumn="0" w:lastColumn="0" w:oddVBand="0" w:evenVBand="0" w:oddHBand="1" w:evenHBand="0" w:firstRowFirstColumn="0" w:firstRowLastColumn="0" w:lastRowFirstColumn="0" w:lastRowLastColumn="0"/>
            </w:pPr>
            <w:r w:rsidRPr="008663F4">
              <w:t>Osguthorpe, R. T., Osguthorpe, R. D., Jacob, W. J., &amp; Davies, R. (2003). The Moral Dimensions of Instructional Design. </w:t>
            </w:r>
            <w:r w:rsidRPr="008663F4">
              <w:rPr>
                <w:i/>
                <w:iCs/>
              </w:rPr>
              <w:t>Educational Technology, 43</w:t>
            </w:r>
            <w:r w:rsidRPr="008663F4">
              <w:t>(2), 19–23.</w:t>
            </w:r>
          </w:p>
        </w:tc>
      </w:tr>
    </w:tbl>
    <w:p w14:paraId="6B30D1C9" w14:textId="3CA3B947" w:rsidR="008A684C" w:rsidRDefault="00781187" w:rsidP="009B0923">
      <w:pPr>
        <w:pStyle w:val="Heading2"/>
      </w:pPr>
      <w:r>
        <w:lastRenderedPageBreak/>
        <w:t xml:space="preserve">Example Design Cases </w:t>
      </w:r>
      <w:r w:rsidR="009B0923">
        <w:t>T</w:t>
      </w:r>
      <w:r>
        <w:t>hat Include Ethical Dimensions</w:t>
      </w:r>
    </w:p>
    <w:p w14:paraId="1F351585" w14:textId="4595D962" w:rsidR="009B0923" w:rsidRDefault="009B0923">
      <w:r>
        <w:t xml:space="preserve">When talking about what amazing instructional design looks like, incorporate </w:t>
      </w:r>
      <w:r w:rsidR="00335D68">
        <w:t>design cases. These could also be used throughout to highlight how designers consider needs that are not purely instructional, how they design for diversity, and how they navigate tensions in design.</w:t>
      </w:r>
    </w:p>
    <w:p w14:paraId="63259D41" w14:textId="7A2C01F3" w:rsidR="00DF594F" w:rsidRDefault="00DF594F">
      <w:r w:rsidRPr="00DF594F">
        <w:rPr>
          <w:b/>
          <w:bCs/>
        </w:rPr>
        <w:t xml:space="preserve">Framing for that week: </w:t>
      </w:r>
      <w:r w:rsidRPr="00237869">
        <w:t>Exemplary work includes work where designers are navigating difficult or complicated issues or even disagreements between the values and interests of different stakeholder groups. Designers not only bring their own values and interests to a project, but they often must work with a team to negotiate differing perspectives.</w:t>
      </w:r>
    </w:p>
    <w:tbl>
      <w:tblPr>
        <w:tblStyle w:val="ListTable3-Accent1"/>
        <w:tblW w:w="0" w:type="auto"/>
        <w:tblLook w:val="04A0" w:firstRow="1" w:lastRow="0" w:firstColumn="1" w:lastColumn="0" w:noHBand="0" w:noVBand="1"/>
      </w:tblPr>
      <w:tblGrid>
        <w:gridCol w:w="5305"/>
        <w:gridCol w:w="3965"/>
      </w:tblGrid>
      <w:tr w:rsidR="00DF594F" w:rsidRPr="00237869" w14:paraId="4B59EEB4" w14:textId="77777777" w:rsidTr="004432D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305" w:type="dxa"/>
            <w:hideMark/>
          </w:tcPr>
          <w:p w14:paraId="46255FAE" w14:textId="77777777" w:rsidR="00DF594F" w:rsidRPr="00237869" w:rsidRDefault="00DF594F" w:rsidP="00DF594F">
            <w:pPr>
              <w:spacing w:after="160" w:line="259" w:lineRule="auto"/>
            </w:pPr>
            <w:r w:rsidRPr="00237869">
              <w:t>Additional Readings</w:t>
            </w:r>
          </w:p>
        </w:tc>
        <w:tc>
          <w:tcPr>
            <w:tcW w:w="3965" w:type="dxa"/>
            <w:hideMark/>
          </w:tcPr>
          <w:p w14:paraId="22D47359" w14:textId="77777777" w:rsidR="00DF594F" w:rsidRPr="00237869" w:rsidRDefault="00DF594F" w:rsidP="00DF594F">
            <w:pPr>
              <w:spacing w:after="160" w:line="259" w:lineRule="auto"/>
              <w:cnfStyle w:val="100000000000" w:firstRow="1" w:lastRow="0" w:firstColumn="0" w:lastColumn="0" w:oddVBand="0" w:evenVBand="0" w:oddHBand="0" w:evenHBand="0" w:firstRowFirstColumn="0" w:firstRowLastColumn="0" w:lastRowFirstColumn="0" w:lastRowLastColumn="0"/>
            </w:pPr>
            <w:r w:rsidRPr="00237869">
              <w:t>Possible Discussion / Activities</w:t>
            </w:r>
          </w:p>
        </w:tc>
      </w:tr>
      <w:tr w:rsidR="00DF594F" w:rsidRPr="00237869" w14:paraId="420F8859" w14:textId="77777777" w:rsidTr="004432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hideMark/>
          </w:tcPr>
          <w:p w14:paraId="03B25CC8" w14:textId="5CAE756F" w:rsidR="00DF594F" w:rsidRPr="00237869" w:rsidRDefault="00DF594F" w:rsidP="00DF594F">
            <w:pPr>
              <w:spacing w:after="160" w:line="259" w:lineRule="auto"/>
            </w:pPr>
            <w:r>
              <w:t>P</w:t>
            </w:r>
            <w:r w:rsidRPr="00237869">
              <w:t>ossible design cases:</w:t>
            </w:r>
          </w:p>
          <w:p w14:paraId="6C9E088B" w14:textId="77777777" w:rsidR="00DF594F" w:rsidRPr="00237869" w:rsidRDefault="00DF594F" w:rsidP="00DF594F">
            <w:pPr>
              <w:numPr>
                <w:ilvl w:val="0"/>
                <w:numId w:val="1"/>
              </w:numPr>
              <w:spacing w:after="160" w:line="259" w:lineRule="auto"/>
              <w:rPr>
                <w:b w:val="0"/>
                <w:bCs w:val="0"/>
              </w:rPr>
            </w:pPr>
            <w:r w:rsidRPr="00237869">
              <w:rPr>
                <w:b w:val="0"/>
                <w:bCs w:val="0"/>
              </w:rPr>
              <w:t xml:space="preserve">Gallup et al. (2018), Empowerment and constraint: Design of a homecare worker training program. </w:t>
            </w:r>
            <w:r w:rsidRPr="00237869">
              <w:rPr>
                <w:b w:val="0"/>
                <w:bCs w:val="0"/>
                <w:i/>
                <w:iCs/>
              </w:rPr>
              <w:t>International Journal of Designs for Learning.</w:t>
            </w:r>
            <w:hyperlink r:id="rId12" w:history="1">
              <w:r w:rsidRPr="00237869">
                <w:rPr>
                  <w:rStyle w:val="Hyperlink"/>
                  <w:b w:val="0"/>
                  <w:bCs w:val="0"/>
                </w:rPr>
                <w:t xml:space="preserve"> </w:t>
              </w:r>
            </w:hyperlink>
            <w:hyperlink r:id="rId13" w:history="1">
              <w:r w:rsidRPr="00237869">
                <w:rPr>
                  <w:rStyle w:val="Hyperlink"/>
                  <w:b w:val="0"/>
                  <w:bCs w:val="0"/>
                </w:rPr>
                <w:t>https://doi.org/10.14434/ijdl.v9i1.23459</w:t>
              </w:r>
            </w:hyperlink>
          </w:p>
          <w:p w14:paraId="05BABCED" w14:textId="77777777" w:rsidR="00DF594F" w:rsidRPr="00237869" w:rsidRDefault="00DF594F" w:rsidP="00DF594F">
            <w:pPr>
              <w:numPr>
                <w:ilvl w:val="0"/>
                <w:numId w:val="1"/>
              </w:numPr>
              <w:spacing w:after="160" w:line="259" w:lineRule="auto"/>
              <w:rPr>
                <w:b w:val="0"/>
                <w:bCs w:val="0"/>
              </w:rPr>
            </w:pPr>
            <w:r w:rsidRPr="00237869">
              <w:rPr>
                <w:b w:val="0"/>
                <w:bCs w:val="0"/>
              </w:rPr>
              <w:t xml:space="preserve">Steele et al. (2018), Accessible making: Designing a makerspace for accessibility. </w:t>
            </w:r>
            <w:r w:rsidRPr="00237869">
              <w:rPr>
                <w:b w:val="0"/>
                <w:bCs w:val="0"/>
                <w:i/>
                <w:iCs/>
              </w:rPr>
              <w:t xml:space="preserve">International Journal of Designs for Learning. </w:t>
            </w:r>
            <w:hyperlink r:id="rId14" w:history="1">
              <w:r w:rsidRPr="00237869">
                <w:rPr>
                  <w:rStyle w:val="Hyperlink"/>
                  <w:b w:val="0"/>
                  <w:bCs w:val="0"/>
                </w:rPr>
                <w:t>https://doi.org/10.14434/ijdl.v9i1.22648</w:t>
              </w:r>
            </w:hyperlink>
          </w:p>
          <w:p w14:paraId="67EE9075" w14:textId="1B8C8B01" w:rsidR="00DF594F" w:rsidRPr="00237869" w:rsidRDefault="00DF594F" w:rsidP="00DF594F">
            <w:pPr>
              <w:numPr>
                <w:ilvl w:val="0"/>
                <w:numId w:val="1"/>
              </w:numPr>
              <w:spacing w:after="160" w:line="259" w:lineRule="auto"/>
            </w:pPr>
            <w:r w:rsidRPr="00237869">
              <w:rPr>
                <w:b w:val="0"/>
                <w:bCs w:val="0"/>
              </w:rPr>
              <w:t xml:space="preserve">Litts et al. (2024), The design ethics of culturally sustaining / revitalizing (re)presentation. </w:t>
            </w:r>
            <w:r w:rsidRPr="00237869">
              <w:rPr>
                <w:b w:val="0"/>
                <w:bCs w:val="0"/>
                <w:i/>
                <w:iCs/>
              </w:rPr>
              <w:t>International Journal of Designs for Learning</w:t>
            </w:r>
            <w:r w:rsidR="004432D5">
              <w:rPr>
                <w:b w:val="0"/>
                <w:bCs w:val="0"/>
                <w:i/>
                <w:iCs/>
              </w:rPr>
              <w:t xml:space="preserve">. </w:t>
            </w:r>
            <w:hyperlink r:id="rId15" w:history="1">
              <w:r w:rsidR="004432D5" w:rsidRPr="004432D5">
                <w:rPr>
                  <w:rStyle w:val="Hyperlink"/>
                  <w:b w:val="0"/>
                  <w:bCs w:val="0"/>
                  <w:i/>
                  <w:iCs/>
                </w:rPr>
                <w:t>https://doi.org/10.14434/ijdl.v15i3.37742</w:t>
              </w:r>
            </w:hyperlink>
            <w:r w:rsidR="004432D5" w:rsidRPr="004432D5">
              <w:rPr>
                <w:b w:val="0"/>
                <w:bCs w:val="0"/>
                <w:i/>
                <w:iCs/>
              </w:rPr>
              <w:t xml:space="preserve"> </w:t>
            </w:r>
          </w:p>
        </w:tc>
        <w:tc>
          <w:tcPr>
            <w:tcW w:w="3965" w:type="dxa"/>
            <w:hideMark/>
          </w:tcPr>
          <w:p w14:paraId="4628D9D5" w14:textId="77777777" w:rsidR="00DF594F" w:rsidRPr="00237869" w:rsidRDefault="00DF594F" w:rsidP="00DF594F">
            <w:pPr>
              <w:spacing w:after="160" w:line="259" w:lineRule="auto"/>
              <w:cnfStyle w:val="000000100000" w:firstRow="0" w:lastRow="0" w:firstColumn="0" w:lastColumn="0" w:oddVBand="0" w:evenVBand="0" w:oddHBand="1" w:evenHBand="0" w:firstRowFirstColumn="0" w:firstRowLastColumn="0" w:lastRowFirstColumn="0" w:lastRowLastColumn="0"/>
            </w:pPr>
            <w:r w:rsidRPr="00237869">
              <w:rPr>
                <w:b/>
                <w:bCs/>
              </w:rPr>
              <w:t xml:space="preserve">Discussion: </w:t>
            </w:r>
            <w:r w:rsidRPr="00237869">
              <w:t>What were some of the ethical tensions the designers discuss? How did they negotiate these with the team, and what design decisions resulted from these negotiations?</w:t>
            </w:r>
          </w:p>
          <w:p w14:paraId="2839877D" w14:textId="77777777" w:rsidR="00DF594F" w:rsidRPr="00237869" w:rsidRDefault="00DF594F" w:rsidP="00DF594F">
            <w:pPr>
              <w:spacing w:after="160" w:line="259" w:lineRule="auto"/>
              <w:cnfStyle w:val="000000100000" w:firstRow="0" w:lastRow="0" w:firstColumn="0" w:lastColumn="0" w:oddVBand="0" w:evenVBand="0" w:oddHBand="1" w:evenHBand="0" w:firstRowFirstColumn="0" w:firstRowLastColumn="0" w:lastRowFirstColumn="0" w:lastRowLastColumn="0"/>
            </w:pPr>
            <w:r w:rsidRPr="00237869">
              <w:rPr>
                <w:b/>
                <w:bCs/>
              </w:rPr>
              <w:t xml:space="preserve">Activity: </w:t>
            </w:r>
            <w:r w:rsidRPr="00237869">
              <w:t>Identifying Ethical Considerations, Articulating a Design Philosophy – In the project you are working on for this class, what are some of the ethical considerations present in your project? If you were to summarize your design philosophy for the project (as an individual or a team), what would it be? Include any statements of shared values, priorities, and commitments.</w:t>
            </w:r>
          </w:p>
        </w:tc>
      </w:tr>
    </w:tbl>
    <w:p w14:paraId="380E472B" w14:textId="77777777" w:rsidR="00335D68" w:rsidRDefault="00335D68"/>
    <w:p w14:paraId="555B52CC" w14:textId="77777777" w:rsidR="00056ABB" w:rsidRDefault="00056ABB">
      <w:pPr>
        <w:rPr>
          <w:rFonts w:asciiTheme="majorHAnsi" w:eastAsiaTheme="majorEastAsia" w:hAnsiTheme="majorHAnsi" w:cstheme="majorBidi"/>
          <w:color w:val="0F4761" w:themeColor="accent1" w:themeShade="BF"/>
          <w:sz w:val="32"/>
          <w:szCs w:val="32"/>
        </w:rPr>
      </w:pPr>
      <w:r>
        <w:br w:type="page"/>
      </w:r>
    </w:p>
    <w:p w14:paraId="4400D356" w14:textId="64561472" w:rsidR="008A684C" w:rsidRDefault="00D12ED6" w:rsidP="00CA7B12">
      <w:pPr>
        <w:pStyle w:val="Heading2"/>
      </w:pPr>
      <w:r>
        <w:lastRenderedPageBreak/>
        <w:t>Ethics in Technology Evaluation and Selection</w:t>
      </w:r>
    </w:p>
    <w:tbl>
      <w:tblPr>
        <w:tblStyle w:val="ListTable3-Accent1"/>
        <w:tblW w:w="0" w:type="auto"/>
        <w:tblLook w:val="04A0" w:firstRow="1" w:lastRow="0" w:firstColumn="1" w:lastColumn="0" w:noHBand="0" w:noVBand="1"/>
      </w:tblPr>
      <w:tblGrid>
        <w:gridCol w:w="2695"/>
        <w:gridCol w:w="6655"/>
      </w:tblGrid>
      <w:tr w:rsidR="00CA7B12" w:rsidRPr="00CA7B12" w14:paraId="47EE7697" w14:textId="77777777" w:rsidTr="00CA7B1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5" w:type="dxa"/>
            <w:hideMark/>
          </w:tcPr>
          <w:p w14:paraId="6B030F41" w14:textId="77777777" w:rsidR="00CA7B12" w:rsidRPr="00CA7B12" w:rsidRDefault="00CA7B12" w:rsidP="00CA7B12">
            <w:pPr>
              <w:spacing w:after="160" w:line="259" w:lineRule="auto"/>
            </w:pPr>
            <w:r w:rsidRPr="00CA7B12">
              <w:t>Framing</w:t>
            </w:r>
          </w:p>
        </w:tc>
        <w:tc>
          <w:tcPr>
            <w:tcW w:w="6655" w:type="dxa"/>
            <w:hideMark/>
          </w:tcPr>
          <w:p w14:paraId="6F6D1C95" w14:textId="77777777" w:rsidR="00CA7B12" w:rsidRPr="00CA7B12" w:rsidRDefault="00CA7B12" w:rsidP="00CA7B12">
            <w:pPr>
              <w:spacing w:after="160" w:line="259" w:lineRule="auto"/>
              <w:cnfStyle w:val="100000000000" w:firstRow="1" w:lastRow="0" w:firstColumn="0" w:lastColumn="0" w:oddVBand="0" w:evenVBand="0" w:oddHBand="0" w:evenHBand="0" w:firstRowFirstColumn="0" w:firstRowLastColumn="0" w:lastRowFirstColumn="0" w:lastRowLastColumn="0"/>
            </w:pPr>
            <w:r w:rsidRPr="00CA7B12">
              <w:t>Additional Readings or Resources</w:t>
            </w:r>
          </w:p>
        </w:tc>
      </w:tr>
      <w:tr w:rsidR="00CA7B12" w:rsidRPr="00CA7B12" w14:paraId="2A684F60" w14:textId="77777777" w:rsidTr="00CA7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22485F71" w14:textId="77777777" w:rsidR="00CA7B12" w:rsidRPr="00CA7B12" w:rsidRDefault="00CA7B12" w:rsidP="00CA7B12">
            <w:pPr>
              <w:spacing w:after="160" w:line="259" w:lineRule="auto"/>
              <w:rPr>
                <w:b w:val="0"/>
                <w:bCs w:val="0"/>
              </w:rPr>
            </w:pPr>
            <w:r w:rsidRPr="00CA7B12">
              <w:rPr>
                <w:b w:val="0"/>
                <w:bCs w:val="0"/>
              </w:rPr>
              <w:t>The example activity above incorporates framing and creates an opportunity for students to apply their learning. This activity can also be incorporated into routine ID or ed tech decision making practices.</w:t>
            </w:r>
          </w:p>
        </w:tc>
        <w:tc>
          <w:tcPr>
            <w:tcW w:w="6655" w:type="dxa"/>
            <w:hideMark/>
          </w:tcPr>
          <w:p w14:paraId="4D822AB2" w14:textId="77777777" w:rsidR="00CA7B12" w:rsidRPr="00CA7B12" w:rsidRDefault="00CA7B12" w:rsidP="00CA7B12">
            <w:pPr>
              <w:spacing w:after="160" w:line="259" w:lineRule="auto"/>
              <w:cnfStyle w:val="000000100000" w:firstRow="0" w:lastRow="0" w:firstColumn="0" w:lastColumn="0" w:oddVBand="0" w:evenVBand="0" w:oddHBand="1" w:evenHBand="0" w:firstRowFirstColumn="0" w:firstRowLastColumn="0" w:lastRowFirstColumn="0" w:lastRowLastColumn="0"/>
            </w:pPr>
            <w:r w:rsidRPr="00CA7B12">
              <w:t>Civics of Technology details on conducting an EdTech audit:</w:t>
            </w:r>
            <w:hyperlink r:id="rId16" w:history="1">
              <w:r w:rsidRPr="00CA7B12">
                <w:rPr>
                  <w:rStyle w:val="Hyperlink"/>
                </w:rPr>
                <w:t xml:space="preserve"> </w:t>
              </w:r>
            </w:hyperlink>
            <w:hyperlink r:id="rId17" w:history="1">
              <w:r w:rsidRPr="00CA7B12">
                <w:rPr>
                  <w:rStyle w:val="Hyperlink"/>
                </w:rPr>
                <w:t>https://www.civicsoftechnology.org/edtechaudit</w:t>
              </w:r>
            </w:hyperlink>
          </w:p>
          <w:p w14:paraId="15ACD4CB" w14:textId="77777777" w:rsidR="00CA7B12" w:rsidRPr="00CA7B12" w:rsidRDefault="00CA7B12" w:rsidP="00CA7B12">
            <w:pPr>
              <w:spacing w:after="160" w:line="259" w:lineRule="auto"/>
              <w:cnfStyle w:val="000000100000" w:firstRow="0" w:lastRow="0" w:firstColumn="0" w:lastColumn="0" w:oddVBand="0" w:evenVBand="0" w:oddHBand="1" w:evenHBand="0" w:firstRowFirstColumn="0" w:firstRowLastColumn="0" w:lastRowFirstColumn="0" w:lastRowLastColumn="0"/>
            </w:pPr>
            <w:r w:rsidRPr="00CA7B12">
              <w:t>Civics of Technology project and main website:</w:t>
            </w:r>
            <w:hyperlink r:id="rId18" w:history="1">
              <w:r w:rsidRPr="00CA7B12">
                <w:rPr>
                  <w:rStyle w:val="Hyperlink"/>
                </w:rPr>
                <w:t xml:space="preserve"> </w:t>
              </w:r>
            </w:hyperlink>
            <w:hyperlink r:id="rId19" w:history="1">
              <w:r w:rsidRPr="00CA7B12">
                <w:rPr>
                  <w:rStyle w:val="Hyperlink"/>
                </w:rPr>
                <w:t>https://www.civicsoftechnology.org/</w:t>
              </w:r>
            </w:hyperlink>
          </w:p>
          <w:p w14:paraId="226C3954" w14:textId="77777777" w:rsidR="00CA7B12" w:rsidRPr="00CA7B12" w:rsidRDefault="00CA7B12" w:rsidP="00CA7B12">
            <w:pPr>
              <w:spacing w:after="160" w:line="259" w:lineRule="auto"/>
              <w:cnfStyle w:val="000000100000" w:firstRow="0" w:lastRow="0" w:firstColumn="0" w:lastColumn="0" w:oddVBand="0" w:evenVBand="0" w:oddHBand="1" w:evenHBand="0" w:firstRowFirstColumn="0" w:firstRowLastColumn="0" w:lastRowFirstColumn="0" w:lastRowLastColumn="0"/>
            </w:pPr>
            <w:r w:rsidRPr="00CA7B12">
              <w:t xml:space="preserve">Krutka, D., Heath, M., and Staudt-Willet, B. (2019). Foregrounding </w:t>
            </w:r>
            <w:proofErr w:type="spellStart"/>
            <w:r w:rsidRPr="00CA7B12">
              <w:t>technoethics</w:t>
            </w:r>
            <w:proofErr w:type="spellEnd"/>
            <w:r w:rsidRPr="00CA7B12">
              <w:t xml:space="preserve">: Toward critical perspectives in technology and teacher education. </w:t>
            </w:r>
            <w:r w:rsidRPr="00CA7B12">
              <w:rPr>
                <w:i/>
                <w:iCs/>
              </w:rPr>
              <w:t>Journal of Technology and Teacher Education, 27</w:t>
            </w:r>
            <w:r w:rsidRPr="00CA7B12">
              <w:t>(4), 555-574.</w:t>
            </w:r>
          </w:p>
          <w:p w14:paraId="2CE00D3B" w14:textId="77777777" w:rsidR="00CA7B12" w:rsidRPr="00CA7B12" w:rsidRDefault="00CA7B12" w:rsidP="00CA7B12">
            <w:pPr>
              <w:spacing w:after="160" w:line="259" w:lineRule="auto"/>
              <w:cnfStyle w:val="000000100000" w:firstRow="0" w:lastRow="0" w:firstColumn="0" w:lastColumn="0" w:oddVBand="0" w:evenVBand="0" w:oddHBand="1" w:evenHBand="0" w:firstRowFirstColumn="0" w:firstRowLastColumn="0" w:lastRowFirstColumn="0" w:lastRowLastColumn="0"/>
            </w:pPr>
            <w:r w:rsidRPr="00CA7B12">
              <w:t xml:space="preserve">Moore S. &amp; Tillberg-Webb, H. (2023). </w:t>
            </w:r>
            <w:r w:rsidRPr="00CA7B12">
              <w:rPr>
                <w:i/>
                <w:iCs/>
              </w:rPr>
              <w:t>Ethics and educational technology</w:t>
            </w:r>
            <w:r w:rsidRPr="00CA7B12">
              <w:t>, Ch. 9</w:t>
            </w:r>
          </w:p>
        </w:tc>
      </w:tr>
    </w:tbl>
    <w:p w14:paraId="4433E15B" w14:textId="77777777" w:rsidR="00D12ED6" w:rsidRDefault="00D12ED6"/>
    <w:p w14:paraId="28F65635" w14:textId="12249B68" w:rsidR="008A684C" w:rsidRDefault="001F14AB">
      <w:r>
        <w:t>Questions for evaluating ethical aspects of technology selection:</w:t>
      </w:r>
    </w:p>
    <w:p w14:paraId="75847C4D" w14:textId="77777777" w:rsidR="001F14AB" w:rsidRPr="001F14AB" w:rsidRDefault="001F14AB" w:rsidP="001F14AB">
      <w:pPr>
        <w:numPr>
          <w:ilvl w:val="0"/>
          <w:numId w:val="2"/>
        </w:numPr>
      </w:pPr>
      <w:r w:rsidRPr="001F14AB">
        <w:rPr>
          <w:b/>
          <w:bCs/>
        </w:rPr>
        <w:t>Accessibility:</w:t>
      </w:r>
      <w:r w:rsidRPr="001F14AB">
        <w:t xml:space="preserve"> Does the tool support diverse learner needs (e.g., captions, screen reader compatibility)?</w:t>
      </w:r>
    </w:p>
    <w:p w14:paraId="76A18FCE" w14:textId="77777777" w:rsidR="001F14AB" w:rsidRPr="001F14AB" w:rsidRDefault="001F14AB" w:rsidP="001F14AB">
      <w:pPr>
        <w:numPr>
          <w:ilvl w:val="0"/>
          <w:numId w:val="2"/>
        </w:numPr>
      </w:pPr>
      <w:r w:rsidRPr="001F14AB">
        <w:rPr>
          <w:b/>
          <w:bCs/>
        </w:rPr>
        <w:t>Data Rights and Privacy:</w:t>
      </w:r>
      <w:r w:rsidRPr="001F14AB">
        <w:t xml:space="preserve"> Can students consent to or opt out of data collection, and is the data used solely for instructional purposes?</w:t>
      </w:r>
    </w:p>
    <w:p w14:paraId="2F16B92A" w14:textId="77777777" w:rsidR="001F14AB" w:rsidRPr="001F14AB" w:rsidRDefault="001F14AB" w:rsidP="001F14AB">
      <w:pPr>
        <w:numPr>
          <w:ilvl w:val="0"/>
          <w:numId w:val="2"/>
        </w:numPr>
      </w:pPr>
      <w:r w:rsidRPr="001F14AB">
        <w:rPr>
          <w:b/>
          <w:bCs/>
        </w:rPr>
        <w:t>Security:</w:t>
      </w:r>
      <w:r w:rsidRPr="001F14AB">
        <w:t xml:space="preserve"> Are sensitive or student-produced data and artifacts protected against breaches?</w:t>
      </w:r>
    </w:p>
    <w:p w14:paraId="15CA4652" w14:textId="77777777" w:rsidR="001F14AB" w:rsidRPr="001F14AB" w:rsidRDefault="001F14AB" w:rsidP="001F14AB">
      <w:pPr>
        <w:numPr>
          <w:ilvl w:val="0"/>
          <w:numId w:val="2"/>
        </w:numPr>
      </w:pPr>
      <w:r w:rsidRPr="001F14AB">
        <w:rPr>
          <w:b/>
          <w:bCs/>
        </w:rPr>
        <w:t>Affordability:</w:t>
      </w:r>
      <w:r w:rsidRPr="001F14AB">
        <w:t xml:space="preserve"> Is the tool financially accessible for the intended audience?</w:t>
      </w:r>
    </w:p>
    <w:p w14:paraId="0BF864E6" w14:textId="77777777" w:rsidR="001F14AB" w:rsidRPr="001F14AB" w:rsidRDefault="001F14AB" w:rsidP="001F14AB">
      <w:pPr>
        <w:numPr>
          <w:ilvl w:val="0"/>
          <w:numId w:val="2"/>
        </w:numPr>
      </w:pPr>
      <w:r w:rsidRPr="001F14AB">
        <w:rPr>
          <w:b/>
          <w:bCs/>
        </w:rPr>
        <w:t>Access and Availability:</w:t>
      </w:r>
      <w:r w:rsidRPr="001F14AB">
        <w:t xml:space="preserve"> Is the technology available and reliable in the learning environment?</w:t>
      </w:r>
    </w:p>
    <w:p w14:paraId="53438C5E" w14:textId="77777777" w:rsidR="001F14AB" w:rsidRPr="001F14AB" w:rsidRDefault="001F14AB" w:rsidP="001F14AB">
      <w:pPr>
        <w:numPr>
          <w:ilvl w:val="0"/>
          <w:numId w:val="2"/>
        </w:numPr>
      </w:pPr>
      <w:r w:rsidRPr="001F14AB">
        <w:rPr>
          <w:b/>
          <w:bCs/>
        </w:rPr>
        <w:t>Dignity and Privacy:</w:t>
      </w:r>
      <w:r w:rsidRPr="001F14AB">
        <w:t xml:space="preserve"> Does the tool involve monitoring or surveillance that could compromise learner dignity (e.g., online proctoring systems)?</w:t>
      </w:r>
    </w:p>
    <w:p w14:paraId="616CD08E" w14:textId="77777777" w:rsidR="001F14AB" w:rsidRPr="001F14AB" w:rsidRDefault="001F14AB" w:rsidP="001F14AB">
      <w:pPr>
        <w:numPr>
          <w:ilvl w:val="0"/>
          <w:numId w:val="2"/>
        </w:numPr>
      </w:pPr>
      <w:r w:rsidRPr="001F14AB">
        <w:rPr>
          <w:b/>
          <w:bCs/>
        </w:rPr>
        <w:t>Environmental Impact:</w:t>
      </w:r>
      <w:r w:rsidRPr="001F14AB">
        <w:t xml:space="preserve"> Does the tool contribute to digital waste or require significant energy to operate, such as generative AIs?</w:t>
      </w:r>
    </w:p>
    <w:p w14:paraId="14092F00" w14:textId="77777777" w:rsidR="001F14AB" w:rsidRDefault="001F14AB"/>
    <w:p w14:paraId="7531AA09" w14:textId="0D551FD3" w:rsidR="005D10FE" w:rsidRDefault="005D10FE">
      <w:r>
        <w:br w:type="page"/>
      </w:r>
    </w:p>
    <w:p w14:paraId="29C034C3" w14:textId="32F1E352" w:rsidR="000D0762" w:rsidRDefault="005D10FE" w:rsidP="003D1E2B">
      <w:pPr>
        <w:pStyle w:val="Heading2"/>
      </w:pPr>
      <w:r>
        <w:lastRenderedPageBreak/>
        <w:t xml:space="preserve">Evaluation – </w:t>
      </w:r>
      <w:r w:rsidR="000D0762">
        <w:t>Ethical Considerations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120"/>
      </w:tblGrid>
      <w:tr w:rsidR="009C48A9" w14:paraId="537D1626" w14:textId="77777777" w:rsidTr="009C48A9">
        <w:tc>
          <w:tcPr>
            <w:tcW w:w="4230" w:type="dxa"/>
          </w:tcPr>
          <w:p w14:paraId="451F1B2D" w14:textId="34985005" w:rsidR="009C48A9" w:rsidRPr="000D0762" w:rsidRDefault="009C48A9" w:rsidP="009C48A9">
            <w:pPr>
              <w:numPr>
                <w:ilvl w:val="0"/>
                <w:numId w:val="3"/>
              </w:numPr>
              <w:tabs>
                <w:tab w:val="clear" w:pos="720"/>
                <w:tab w:val="left" w:pos="431"/>
              </w:tabs>
              <w:spacing w:after="160" w:line="259" w:lineRule="auto"/>
              <w:ind w:left="431"/>
            </w:pPr>
            <w:r w:rsidRPr="000D0762">
              <w:t>Obtaining informed consent</w:t>
            </w:r>
          </w:p>
          <w:p w14:paraId="556270DA" w14:textId="52429F2A" w:rsidR="009C48A9" w:rsidRPr="000D0762" w:rsidRDefault="009C48A9" w:rsidP="009C48A9">
            <w:pPr>
              <w:numPr>
                <w:ilvl w:val="0"/>
                <w:numId w:val="3"/>
              </w:numPr>
              <w:tabs>
                <w:tab w:val="clear" w:pos="720"/>
                <w:tab w:val="left" w:pos="431"/>
              </w:tabs>
              <w:spacing w:after="160" w:line="259" w:lineRule="auto"/>
              <w:ind w:left="431"/>
            </w:pPr>
            <w:r w:rsidRPr="000D0762">
              <w:t>Conducting an inclusive process</w:t>
            </w:r>
          </w:p>
          <w:p w14:paraId="3C903D6D" w14:textId="60E0F5CF" w:rsidR="009C48A9" w:rsidRPr="000D0762" w:rsidRDefault="009C48A9" w:rsidP="009C48A9">
            <w:pPr>
              <w:numPr>
                <w:ilvl w:val="0"/>
                <w:numId w:val="3"/>
              </w:numPr>
              <w:tabs>
                <w:tab w:val="clear" w:pos="720"/>
                <w:tab w:val="left" w:pos="431"/>
              </w:tabs>
              <w:spacing w:after="160" w:line="259" w:lineRule="auto"/>
              <w:ind w:left="431"/>
            </w:pPr>
            <w:r w:rsidRPr="000D0762">
              <w:t>Identifying potential for discriminatory treatments (House, 2017)</w:t>
            </w:r>
          </w:p>
          <w:p w14:paraId="04915D76" w14:textId="3142E117" w:rsidR="009C48A9" w:rsidRPr="000D0762" w:rsidRDefault="009C48A9" w:rsidP="009C48A9">
            <w:pPr>
              <w:numPr>
                <w:ilvl w:val="0"/>
                <w:numId w:val="3"/>
              </w:numPr>
              <w:tabs>
                <w:tab w:val="clear" w:pos="720"/>
                <w:tab w:val="left" w:pos="431"/>
              </w:tabs>
              <w:spacing w:after="160" w:line="259" w:lineRule="auto"/>
              <w:ind w:left="431"/>
            </w:pPr>
            <w:r w:rsidRPr="000D0762">
              <w:t>Considering socio-political context</w:t>
            </w:r>
          </w:p>
          <w:p w14:paraId="57BB29B2" w14:textId="6DC1EF7E" w:rsidR="009C48A9" w:rsidRPr="000D0762" w:rsidRDefault="009C48A9" w:rsidP="009C48A9">
            <w:pPr>
              <w:numPr>
                <w:ilvl w:val="0"/>
                <w:numId w:val="3"/>
              </w:numPr>
              <w:tabs>
                <w:tab w:val="clear" w:pos="720"/>
                <w:tab w:val="left" w:pos="431"/>
              </w:tabs>
              <w:spacing w:after="160" w:line="259" w:lineRule="auto"/>
              <w:ind w:left="431"/>
            </w:pPr>
            <w:r w:rsidRPr="000D0762">
              <w:t>Remaining cognizant of potential power imbalances (IATD, 2021)</w:t>
            </w:r>
          </w:p>
          <w:p w14:paraId="62184093" w14:textId="77777777" w:rsidR="009C48A9" w:rsidRDefault="009C48A9" w:rsidP="009C48A9">
            <w:pPr>
              <w:tabs>
                <w:tab w:val="left" w:pos="431"/>
              </w:tabs>
              <w:ind w:left="431"/>
            </w:pPr>
          </w:p>
        </w:tc>
        <w:tc>
          <w:tcPr>
            <w:tcW w:w="5120" w:type="dxa"/>
          </w:tcPr>
          <w:p w14:paraId="571231CC" w14:textId="440DA132" w:rsidR="009C48A9" w:rsidRPr="000D0762" w:rsidRDefault="009C48A9" w:rsidP="009C48A9">
            <w:pPr>
              <w:numPr>
                <w:ilvl w:val="0"/>
                <w:numId w:val="3"/>
              </w:numPr>
              <w:tabs>
                <w:tab w:val="clear" w:pos="720"/>
                <w:tab w:val="left" w:pos="431"/>
              </w:tabs>
              <w:spacing w:after="160" w:line="259" w:lineRule="auto"/>
              <w:ind w:left="431"/>
            </w:pPr>
            <w:r w:rsidRPr="000D0762">
              <w:t xml:space="preserve">Articulating a clear plan for data collection, management, and storage which </w:t>
            </w:r>
            <w:proofErr w:type="gramStart"/>
            <w:r w:rsidRPr="000D0762">
              <w:t>takes into account</w:t>
            </w:r>
            <w:proofErr w:type="gramEnd"/>
            <w:r w:rsidRPr="000D0762">
              <w:t xml:space="preserve"> privacy and data security</w:t>
            </w:r>
          </w:p>
          <w:p w14:paraId="700D4948" w14:textId="59EDCEB5" w:rsidR="009C48A9" w:rsidRPr="000D0762" w:rsidRDefault="009C48A9" w:rsidP="009C48A9">
            <w:pPr>
              <w:numPr>
                <w:ilvl w:val="0"/>
                <w:numId w:val="3"/>
              </w:numPr>
              <w:tabs>
                <w:tab w:val="clear" w:pos="720"/>
                <w:tab w:val="left" w:pos="431"/>
              </w:tabs>
              <w:spacing w:after="160" w:line="259" w:lineRule="auto"/>
              <w:ind w:left="431"/>
            </w:pPr>
            <w:r w:rsidRPr="000D0762">
              <w:t>Engaging in transparent communication throughout all processes</w:t>
            </w:r>
          </w:p>
          <w:p w14:paraId="4C548662" w14:textId="131FE3E7" w:rsidR="009C48A9" w:rsidRDefault="009C48A9" w:rsidP="009C48A9">
            <w:pPr>
              <w:numPr>
                <w:ilvl w:val="0"/>
                <w:numId w:val="3"/>
              </w:numPr>
              <w:tabs>
                <w:tab w:val="clear" w:pos="720"/>
                <w:tab w:val="left" w:pos="431"/>
              </w:tabs>
              <w:spacing w:after="160" w:line="259" w:lineRule="auto"/>
              <w:ind w:left="431"/>
            </w:pPr>
            <w:r w:rsidRPr="000D0762">
              <w:t>Ensuring that any evidence of harm be addressed immediately</w:t>
            </w:r>
          </w:p>
          <w:p w14:paraId="5772358C" w14:textId="4976C8D8" w:rsidR="009C48A9" w:rsidRDefault="009C48A9" w:rsidP="009C48A9">
            <w:pPr>
              <w:numPr>
                <w:ilvl w:val="0"/>
                <w:numId w:val="3"/>
              </w:numPr>
              <w:tabs>
                <w:tab w:val="clear" w:pos="720"/>
                <w:tab w:val="left" w:pos="431"/>
              </w:tabs>
              <w:spacing w:after="160" w:line="259" w:lineRule="auto"/>
              <w:ind w:left="431"/>
            </w:pPr>
            <w:r w:rsidRPr="000D0762">
              <w:t>Striving for objectivity in reporting and not letting powerful voices obscure evidence</w:t>
            </w:r>
          </w:p>
        </w:tc>
      </w:tr>
    </w:tbl>
    <w:p w14:paraId="15B29222" w14:textId="4DB4F255" w:rsidR="005D10FE" w:rsidRDefault="005D10FE" w:rsidP="003D1E2B">
      <w:pPr>
        <w:pStyle w:val="Heading2"/>
      </w:pPr>
      <w:r>
        <w:t>Revised Kirkpatrick to Incorporate Ethics</w:t>
      </w:r>
    </w:p>
    <w:p w14:paraId="480BF085" w14:textId="7171F7F7" w:rsidR="00045DD6" w:rsidRPr="00045DD6" w:rsidRDefault="00045DD6" w:rsidP="00045DD6">
      <w:r>
        <w:t>Revise evaluation prompts to incorporate ethics</w:t>
      </w:r>
      <w:r w:rsidR="00F815EB">
        <w:t>. For example, the following are revisions to integrate ethics into prompts on the use of Kirkpatrick’s evaluation model from one ID class.</w:t>
      </w:r>
    </w:p>
    <w:tbl>
      <w:tblPr>
        <w:tblStyle w:val="ListTable3-Accent1"/>
        <w:tblW w:w="9535" w:type="dxa"/>
        <w:tblLook w:val="04A0" w:firstRow="1" w:lastRow="0" w:firstColumn="1" w:lastColumn="0" w:noHBand="0" w:noVBand="1"/>
      </w:tblPr>
      <w:tblGrid>
        <w:gridCol w:w="1525"/>
        <w:gridCol w:w="8010"/>
      </w:tblGrid>
      <w:tr w:rsidR="00617F2E" w:rsidRPr="003D1E2B" w14:paraId="1341DC02" w14:textId="77777777" w:rsidTr="00617F2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5" w:type="dxa"/>
            <w:hideMark/>
          </w:tcPr>
          <w:p w14:paraId="0AC259A3" w14:textId="77777777" w:rsidR="00617F2E" w:rsidRPr="003D1E2B" w:rsidRDefault="00617F2E" w:rsidP="003D1E2B">
            <w:pPr>
              <w:spacing w:after="160" w:line="259" w:lineRule="auto"/>
            </w:pPr>
            <w:r w:rsidRPr="003D1E2B">
              <w:t>Kirkpatrick Level</w:t>
            </w:r>
          </w:p>
        </w:tc>
        <w:tc>
          <w:tcPr>
            <w:tcW w:w="8010" w:type="dxa"/>
            <w:hideMark/>
          </w:tcPr>
          <w:p w14:paraId="50B38D55" w14:textId="77777777" w:rsidR="00617F2E" w:rsidRPr="003D1E2B" w:rsidRDefault="00617F2E" w:rsidP="003D1E2B">
            <w:pPr>
              <w:spacing w:after="160" w:line="259" w:lineRule="auto"/>
              <w:cnfStyle w:val="100000000000" w:firstRow="1" w:lastRow="0" w:firstColumn="0" w:lastColumn="0" w:oddVBand="0" w:evenVBand="0" w:oddHBand="0" w:evenHBand="0" w:firstRowFirstColumn="0" w:firstRowLastColumn="0" w:lastRowFirstColumn="0" w:lastRowLastColumn="0"/>
            </w:pPr>
            <w:r w:rsidRPr="003D1E2B">
              <w:t>Revised to Incorporate Ethics</w:t>
            </w:r>
          </w:p>
        </w:tc>
      </w:tr>
      <w:tr w:rsidR="00617F2E" w:rsidRPr="003D1E2B" w14:paraId="25ABE46F" w14:textId="77777777" w:rsidTr="00617F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hideMark/>
          </w:tcPr>
          <w:p w14:paraId="60A2024E" w14:textId="77777777" w:rsidR="00617F2E" w:rsidRPr="003D1E2B" w:rsidRDefault="00617F2E" w:rsidP="003D1E2B">
            <w:pPr>
              <w:spacing w:after="160" w:line="259" w:lineRule="auto"/>
            </w:pPr>
            <w:r w:rsidRPr="003D1E2B">
              <w:rPr>
                <w:i/>
                <w:iCs/>
              </w:rPr>
              <w:t>Level 1: Learner Reaction</w:t>
            </w:r>
          </w:p>
        </w:tc>
        <w:tc>
          <w:tcPr>
            <w:tcW w:w="8010" w:type="dxa"/>
            <w:hideMark/>
          </w:tcPr>
          <w:p w14:paraId="12496B73" w14:textId="77777777" w:rsidR="00617F2E" w:rsidRPr="003D1E2B" w:rsidRDefault="00617F2E" w:rsidP="003D1E2B">
            <w:pPr>
              <w:spacing w:after="160" w:line="259" w:lineRule="auto"/>
              <w:cnfStyle w:val="000000100000" w:firstRow="0" w:lastRow="0" w:firstColumn="0" w:lastColumn="0" w:oddVBand="0" w:evenVBand="0" w:oddHBand="1" w:evenHBand="0" w:firstRowFirstColumn="0" w:firstRowLastColumn="0" w:lastRowFirstColumn="0" w:lastRowLastColumn="0"/>
            </w:pPr>
            <w:r w:rsidRPr="003D1E2B">
              <w:t>Evaluations at this level gather feedback from participants about their experience in the program. It’s necessary to obtain informed consent before collecting any data, ensuring participants fully understand what information is being gathered and how it will be used. Additionally, an inclusive process should be designed to give all participants, regardless of their background or status, a voice. Feedback collection methods should not favor certain groups over others. It’s important to recognize and navigate the socio-political context in which the program operates, as participants may come from different cultural or institutional environments that influence how they respond. Throughout this process, we should clearly communicate with participants about how their data will be managed and ensure privacy and data security are prioritized to protect sensitive information. How will you ensure that data that you collect is used to improve the program and also that anyone sharing their honest opinion can be comfortable sharing that opinion without any repercussion, whether it be to their grade in a course, their job in a company or future opportunities for learning?</w:t>
            </w:r>
          </w:p>
        </w:tc>
      </w:tr>
      <w:tr w:rsidR="00617F2E" w:rsidRPr="003D1E2B" w14:paraId="2C2CDDFD" w14:textId="77777777" w:rsidTr="00617F2E">
        <w:tc>
          <w:tcPr>
            <w:cnfStyle w:val="001000000000" w:firstRow="0" w:lastRow="0" w:firstColumn="1" w:lastColumn="0" w:oddVBand="0" w:evenVBand="0" w:oddHBand="0" w:evenHBand="0" w:firstRowFirstColumn="0" w:firstRowLastColumn="0" w:lastRowFirstColumn="0" w:lastRowLastColumn="0"/>
            <w:tcW w:w="1525" w:type="dxa"/>
            <w:hideMark/>
          </w:tcPr>
          <w:p w14:paraId="4E673F01" w14:textId="77777777" w:rsidR="00617F2E" w:rsidRPr="003D1E2B" w:rsidRDefault="00617F2E" w:rsidP="003D1E2B">
            <w:pPr>
              <w:spacing w:after="160" w:line="259" w:lineRule="auto"/>
            </w:pPr>
            <w:r w:rsidRPr="003D1E2B">
              <w:rPr>
                <w:i/>
                <w:iCs/>
              </w:rPr>
              <w:t>Level 2: Learning</w:t>
            </w:r>
          </w:p>
        </w:tc>
        <w:tc>
          <w:tcPr>
            <w:tcW w:w="8010" w:type="dxa"/>
            <w:hideMark/>
          </w:tcPr>
          <w:p w14:paraId="277AC6E4" w14:textId="77777777" w:rsidR="00617F2E" w:rsidRPr="003D1E2B" w:rsidRDefault="00617F2E" w:rsidP="003D1E2B">
            <w:pPr>
              <w:spacing w:after="160" w:line="259" w:lineRule="auto"/>
              <w:cnfStyle w:val="000000000000" w:firstRow="0" w:lastRow="0" w:firstColumn="0" w:lastColumn="0" w:oddVBand="0" w:evenVBand="0" w:oddHBand="0" w:evenHBand="0" w:firstRowFirstColumn="0" w:firstRowLastColumn="0" w:lastRowFirstColumn="0" w:lastRowLastColumn="0"/>
            </w:pPr>
            <w:r w:rsidRPr="003D1E2B">
              <w:t xml:space="preserve">This level of Kirkpatrick measures what participants gained from the program. This would encompass all summative assessments in the training program. Ethical considerations here include creating inclusive and fair assessments that avoid cultural or social biases and do not disadvantage any particular group. Are all learning assessments designed with accessibility in mind, so that learners can be successful? Have we considered the language and examples in the assessments and ensured they are directly aligned to the outcomes and measuring learner’s </w:t>
            </w:r>
            <w:r w:rsidRPr="003D1E2B">
              <w:lastRenderedPageBreak/>
              <w:t>progress on examples and application connected to that content? When using assessment data from a learning experience to evaluate program success, how are we ensuring that learner data is protected and private, so as to not violate learners’ expected confidentiality of their individual progress?</w:t>
            </w:r>
          </w:p>
        </w:tc>
      </w:tr>
      <w:tr w:rsidR="00617F2E" w:rsidRPr="003D1E2B" w14:paraId="54210776" w14:textId="77777777" w:rsidTr="00617F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hideMark/>
          </w:tcPr>
          <w:p w14:paraId="504CFF7C" w14:textId="77777777" w:rsidR="00617F2E" w:rsidRPr="003D1E2B" w:rsidRDefault="00617F2E" w:rsidP="003D1E2B">
            <w:pPr>
              <w:spacing w:after="160" w:line="259" w:lineRule="auto"/>
            </w:pPr>
            <w:r w:rsidRPr="003D1E2B">
              <w:rPr>
                <w:i/>
                <w:iCs/>
              </w:rPr>
              <w:lastRenderedPageBreak/>
              <w:t>Level 3: Behavior</w:t>
            </w:r>
          </w:p>
        </w:tc>
        <w:tc>
          <w:tcPr>
            <w:tcW w:w="8010" w:type="dxa"/>
            <w:hideMark/>
          </w:tcPr>
          <w:p w14:paraId="494E18FA" w14:textId="77777777" w:rsidR="00617F2E" w:rsidRPr="003D1E2B" w:rsidRDefault="00617F2E" w:rsidP="003D1E2B">
            <w:pPr>
              <w:spacing w:after="160" w:line="259" w:lineRule="auto"/>
              <w:cnfStyle w:val="000000100000" w:firstRow="0" w:lastRow="0" w:firstColumn="0" w:lastColumn="0" w:oddVBand="0" w:evenVBand="0" w:oddHBand="1" w:evenHBand="0" w:firstRowFirstColumn="0" w:firstRowLastColumn="0" w:lastRowFirstColumn="0" w:lastRowLastColumn="0"/>
            </w:pPr>
            <w:r w:rsidRPr="003D1E2B">
              <w:t>For Kirkpatrick’s Level 3, we evaluate whether participants are applying what they’ve learned in practice in their job environment or a real-world scenario. This level is also known as “Performance” or “Transfer.” Determining Level 3 results may involve observing participants in their work or personal environments. Ethical issues related to informed consent are critical here—participants must be fully aware of and agree to any form of observation or monitoring. This should be the case if we’re collaborating with managers instead of individual employees as well. Additionally, we want to make sure that it is transparent what behaviors are being assessed and why. Lastly, we would want to make sure that we’re accounting for different cultural and social norms as well as different ways that learners might naturally work. Finally, once this data is collected– how will it be used? If learners did not favorably apply new skills, how will the evaluator ensure trust with the community is sustained while improving the training program to strive for more effective results.</w:t>
            </w:r>
          </w:p>
        </w:tc>
      </w:tr>
      <w:tr w:rsidR="00617F2E" w:rsidRPr="003D1E2B" w14:paraId="715AE9C4" w14:textId="77777777" w:rsidTr="00617F2E">
        <w:tc>
          <w:tcPr>
            <w:cnfStyle w:val="001000000000" w:firstRow="0" w:lastRow="0" w:firstColumn="1" w:lastColumn="0" w:oddVBand="0" w:evenVBand="0" w:oddHBand="0" w:evenHBand="0" w:firstRowFirstColumn="0" w:firstRowLastColumn="0" w:lastRowFirstColumn="0" w:lastRowLastColumn="0"/>
            <w:tcW w:w="1525" w:type="dxa"/>
            <w:hideMark/>
          </w:tcPr>
          <w:p w14:paraId="12280F24" w14:textId="77777777" w:rsidR="00617F2E" w:rsidRPr="003D1E2B" w:rsidRDefault="00617F2E" w:rsidP="003D1E2B">
            <w:pPr>
              <w:spacing w:after="160" w:line="259" w:lineRule="auto"/>
            </w:pPr>
            <w:r w:rsidRPr="003D1E2B">
              <w:rPr>
                <w:i/>
                <w:iCs/>
              </w:rPr>
              <w:t>Level 4: Results</w:t>
            </w:r>
          </w:p>
        </w:tc>
        <w:tc>
          <w:tcPr>
            <w:tcW w:w="8010" w:type="dxa"/>
            <w:hideMark/>
          </w:tcPr>
          <w:p w14:paraId="241C6BA9" w14:textId="77777777" w:rsidR="00617F2E" w:rsidRPr="003D1E2B" w:rsidRDefault="00617F2E" w:rsidP="003D1E2B">
            <w:pPr>
              <w:spacing w:after="160" w:line="259" w:lineRule="auto"/>
              <w:cnfStyle w:val="000000000000" w:firstRow="0" w:lastRow="0" w:firstColumn="0" w:lastColumn="0" w:oddVBand="0" w:evenVBand="0" w:oddHBand="0" w:evenHBand="0" w:firstRowFirstColumn="0" w:firstRowLastColumn="0" w:lastRowFirstColumn="0" w:lastRowLastColumn="0"/>
            </w:pPr>
            <w:r w:rsidRPr="003D1E2B">
              <w:t>Level 4 of Kirkpatrick is difficult to attain and also the driving reason for training programs. The broader impact of the training program is the focus of this level of evaluation. Measuring and reporting broad results enables you to justify the cost of the learning experience by demonstrating its value to the sponsoring organization. Your results should clearly illustrate the “impact” of the instruction on the organizational goals it was designed to achieve. Monitor leading indicators of success. Identify desired outcomes and take benchmark measurements at the beginning of the project, and then re-measure following the instruction to demonstrate results/impact. All the same considerations of ethical engagement with stakeholders and handling of data apply to Level 4.</w:t>
            </w:r>
          </w:p>
        </w:tc>
      </w:tr>
    </w:tbl>
    <w:p w14:paraId="4B40746F" w14:textId="77777777" w:rsidR="003D1E2B" w:rsidRPr="003D1E2B" w:rsidRDefault="003D1E2B" w:rsidP="003D1E2B"/>
    <w:sectPr w:rsidR="003D1E2B" w:rsidRPr="003D1E2B">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E70FC" w14:textId="77777777" w:rsidR="00EA6BA2" w:rsidRDefault="00EA6BA2" w:rsidP="00BF7FFE">
      <w:pPr>
        <w:spacing w:after="0" w:line="240" w:lineRule="auto"/>
      </w:pPr>
      <w:r>
        <w:separator/>
      </w:r>
    </w:p>
  </w:endnote>
  <w:endnote w:type="continuationSeparator" w:id="0">
    <w:p w14:paraId="5ECF5931" w14:textId="77777777" w:rsidR="00EA6BA2" w:rsidRDefault="00EA6BA2" w:rsidP="00BF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123825"/>
      <w:docPartObj>
        <w:docPartGallery w:val="Page Numbers (Bottom of Page)"/>
        <w:docPartUnique/>
      </w:docPartObj>
    </w:sdtPr>
    <w:sdtContent>
      <w:sdt>
        <w:sdtPr>
          <w:id w:val="-1769616900"/>
          <w:docPartObj>
            <w:docPartGallery w:val="Page Numbers (Top of Page)"/>
            <w:docPartUnique/>
          </w:docPartObj>
        </w:sdtPr>
        <w:sdtContent>
          <w:p w14:paraId="2270A940" w14:textId="77777777" w:rsidR="002B2F7F" w:rsidRDefault="002B2F7F" w:rsidP="002B2F7F">
            <w:pPr>
              <w:pStyle w:val="Footer"/>
            </w:pPr>
            <w:r>
              <w:rPr>
                <w:noProof/>
              </w:rPr>
              <w:drawing>
                <wp:anchor distT="0" distB="0" distL="114300" distR="114300" simplePos="0" relativeHeight="251659264" behindDoc="0" locked="0" layoutInCell="1" allowOverlap="1" wp14:anchorId="516C01BC" wp14:editId="378B7233">
                  <wp:simplePos x="0" y="0"/>
                  <wp:positionH relativeFrom="margin">
                    <wp:align>left</wp:align>
                  </wp:positionH>
                  <wp:positionV relativeFrom="paragraph">
                    <wp:posOffset>3810</wp:posOffset>
                  </wp:positionV>
                  <wp:extent cx="646043" cy="226035"/>
                  <wp:effectExtent l="0" t="0" r="1905" b="3175"/>
                  <wp:wrapSquare wrapText="bothSides"/>
                  <wp:docPr id="2145211361" name="Picture 1" descr="A sign with a person and dollar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11361" name="Picture 1" descr="A sign with a person and dollar symbo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6043" cy="226035"/>
                          </a:xfrm>
                          <a:prstGeom prst="rect">
                            <a:avLst/>
                          </a:prstGeom>
                        </pic:spPr>
                      </pic:pic>
                    </a:graphicData>
                  </a:graphic>
                </wp:anchor>
              </w:drawing>
            </w:r>
            <w:r>
              <w:t xml:space="preserve"> This work is licensed under a Creative Commons Attribution 4.0 International License.</w:t>
            </w:r>
          </w:p>
          <w:p w14:paraId="5719C468" w14:textId="77777777" w:rsidR="002B2F7F" w:rsidRDefault="002B2F7F" w:rsidP="002B2F7F">
            <w:pPr>
              <w:pStyle w:val="Footer"/>
            </w:pPr>
            <w:r>
              <w:t>Created by Stephanie Moore and Heather Tillberg-Webb</w:t>
            </w:r>
          </w:p>
          <w:p w14:paraId="79B2A4DC" w14:textId="1290A08D" w:rsidR="00BF7FFE" w:rsidRDefault="002B2F7F" w:rsidP="002B2F7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2E4BD" w14:textId="77777777" w:rsidR="00EA6BA2" w:rsidRDefault="00EA6BA2" w:rsidP="00BF7FFE">
      <w:pPr>
        <w:spacing w:after="0" w:line="240" w:lineRule="auto"/>
      </w:pPr>
      <w:r>
        <w:separator/>
      </w:r>
    </w:p>
  </w:footnote>
  <w:footnote w:type="continuationSeparator" w:id="0">
    <w:p w14:paraId="27F0D1B1" w14:textId="77777777" w:rsidR="00EA6BA2" w:rsidRDefault="00EA6BA2" w:rsidP="00BF7F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9726B5"/>
    <w:multiLevelType w:val="multilevel"/>
    <w:tmpl w:val="570E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B17AE6"/>
    <w:multiLevelType w:val="multilevel"/>
    <w:tmpl w:val="20C6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43757B"/>
    <w:multiLevelType w:val="multilevel"/>
    <w:tmpl w:val="9966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771043">
    <w:abstractNumId w:val="0"/>
  </w:num>
  <w:num w:numId="2" w16cid:durableId="1275794241">
    <w:abstractNumId w:val="2"/>
  </w:num>
  <w:num w:numId="3" w16cid:durableId="108864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84C"/>
    <w:rsid w:val="00043A2A"/>
    <w:rsid w:val="00045DD6"/>
    <w:rsid w:val="00056ABB"/>
    <w:rsid w:val="000D0762"/>
    <w:rsid w:val="001F14AB"/>
    <w:rsid w:val="00237869"/>
    <w:rsid w:val="002B2F7F"/>
    <w:rsid w:val="00335D68"/>
    <w:rsid w:val="003D1E2B"/>
    <w:rsid w:val="004432D5"/>
    <w:rsid w:val="00453B1D"/>
    <w:rsid w:val="00513D08"/>
    <w:rsid w:val="005D10FE"/>
    <w:rsid w:val="00617F2E"/>
    <w:rsid w:val="0068606D"/>
    <w:rsid w:val="00700E74"/>
    <w:rsid w:val="00781187"/>
    <w:rsid w:val="007B435C"/>
    <w:rsid w:val="007D119D"/>
    <w:rsid w:val="00824145"/>
    <w:rsid w:val="00830634"/>
    <w:rsid w:val="008663F4"/>
    <w:rsid w:val="008A581A"/>
    <w:rsid w:val="008A684C"/>
    <w:rsid w:val="008F36AE"/>
    <w:rsid w:val="009A1A83"/>
    <w:rsid w:val="009B0923"/>
    <w:rsid w:val="009C48A9"/>
    <w:rsid w:val="00A43D0E"/>
    <w:rsid w:val="00AF734A"/>
    <w:rsid w:val="00B14891"/>
    <w:rsid w:val="00B64382"/>
    <w:rsid w:val="00BE0C96"/>
    <w:rsid w:val="00BF7FFE"/>
    <w:rsid w:val="00CA7B12"/>
    <w:rsid w:val="00D12ED6"/>
    <w:rsid w:val="00D43C9F"/>
    <w:rsid w:val="00DF594F"/>
    <w:rsid w:val="00EA6BA2"/>
    <w:rsid w:val="00F307FD"/>
    <w:rsid w:val="00F815EB"/>
    <w:rsid w:val="00FB4ED7"/>
    <w:rsid w:val="00FD4D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D756"/>
  <w15:chartTrackingRefBased/>
  <w15:docId w15:val="{6B733124-88F0-42F2-ABA9-BA5DF5E7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B4ED7"/>
    <w:pPr>
      <w:keepNext/>
      <w:keepLines/>
      <w:spacing w:before="360" w:after="80"/>
      <w:outlineLvl w:val="0"/>
    </w:pPr>
    <w:rPr>
      <w:rFonts w:ascii="Times New Roman" w:eastAsiaTheme="majorEastAsia" w:hAnsi="Times New Roman"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8A6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8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8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8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8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8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8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8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ED7"/>
    <w:rPr>
      <w:rFonts w:ascii="Times New Roman" w:eastAsiaTheme="majorEastAsia" w:hAnsi="Times New Roman" w:cstheme="majorBidi"/>
      <w:color w:val="0F4761" w:themeColor="accent1" w:themeShade="BF"/>
      <w:sz w:val="32"/>
      <w:szCs w:val="40"/>
    </w:rPr>
  </w:style>
  <w:style w:type="character" w:customStyle="1" w:styleId="Heading2Char">
    <w:name w:val="Heading 2 Char"/>
    <w:basedOn w:val="DefaultParagraphFont"/>
    <w:link w:val="Heading2"/>
    <w:uiPriority w:val="9"/>
    <w:rsid w:val="008A68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8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8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8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8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8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8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84C"/>
    <w:rPr>
      <w:rFonts w:eastAsiaTheme="majorEastAsia" w:cstheme="majorBidi"/>
      <w:color w:val="272727" w:themeColor="text1" w:themeTint="D8"/>
    </w:rPr>
  </w:style>
  <w:style w:type="paragraph" w:styleId="Title">
    <w:name w:val="Title"/>
    <w:basedOn w:val="Normal"/>
    <w:next w:val="Normal"/>
    <w:link w:val="TitleChar"/>
    <w:uiPriority w:val="10"/>
    <w:qFormat/>
    <w:rsid w:val="008A6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8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8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8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84C"/>
    <w:pPr>
      <w:spacing w:before="160"/>
      <w:jc w:val="center"/>
    </w:pPr>
    <w:rPr>
      <w:i/>
      <w:iCs/>
      <w:color w:val="404040" w:themeColor="text1" w:themeTint="BF"/>
    </w:rPr>
  </w:style>
  <w:style w:type="character" w:customStyle="1" w:styleId="QuoteChar">
    <w:name w:val="Quote Char"/>
    <w:basedOn w:val="DefaultParagraphFont"/>
    <w:link w:val="Quote"/>
    <w:uiPriority w:val="29"/>
    <w:rsid w:val="008A684C"/>
    <w:rPr>
      <w:i/>
      <w:iCs/>
      <w:color w:val="404040" w:themeColor="text1" w:themeTint="BF"/>
    </w:rPr>
  </w:style>
  <w:style w:type="paragraph" w:styleId="ListParagraph">
    <w:name w:val="List Paragraph"/>
    <w:basedOn w:val="Normal"/>
    <w:uiPriority w:val="34"/>
    <w:qFormat/>
    <w:rsid w:val="008A684C"/>
    <w:pPr>
      <w:ind w:left="720"/>
      <w:contextualSpacing/>
    </w:pPr>
  </w:style>
  <w:style w:type="character" w:styleId="IntenseEmphasis">
    <w:name w:val="Intense Emphasis"/>
    <w:basedOn w:val="DefaultParagraphFont"/>
    <w:uiPriority w:val="21"/>
    <w:qFormat/>
    <w:rsid w:val="008A684C"/>
    <w:rPr>
      <w:i/>
      <w:iCs/>
      <w:color w:val="0F4761" w:themeColor="accent1" w:themeShade="BF"/>
    </w:rPr>
  </w:style>
  <w:style w:type="paragraph" w:styleId="IntenseQuote">
    <w:name w:val="Intense Quote"/>
    <w:basedOn w:val="Normal"/>
    <w:next w:val="Normal"/>
    <w:link w:val="IntenseQuoteChar"/>
    <w:uiPriority w:val="30"/>
    <w:qFormat/>
    <w:rsid w:val="008A6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84C"/>
    <w:rPr>
      <w:i/>
      <w:iCs/>
      <w:color w:val="0F4761" w:themeColor="accent1" w:themeShade="BF"/>
    </w:rPr>
  </w:style>
  <w:style w:type="character" w:styleId="IntenseReference">
    <w:name w:val="Intense Reference"/>
    <w:basedOn w:val="DefaultParagraphFont"/>
    <w:uiPriority w:val="32"/>
    <w:qFormat/>
    <w:rsid w:val="008A684C"/>
    <w:rPr>
      <w:b/>
      <w:bCs/>
      <w:smallCaps/>
      <w:color w:val="0F4761" w:themeColor="accent1" w:themeShade="BF"/>
      <w:spacing w:val="5"/>
    </w:rPr>
  </w:style>
  <w:style w:type="character" w:styleId="Hyperlink">
    <w:name w:val="Hyperlink"/>
    <w:basedOn w:val="DefaultParagraphFont"/>
    <w:uiPriority w:val="99"/>
    <w:unhideWhenUsed/>
    <w:rsid w:val="008A684C"/>
    <w:rPr>
      <w:color w:val="467886" w:themeColor="hyperlink"/>
      <w:u w:val="single"/>
    </w:rPr>
  </w:style>
  <w:style w:type="character" w:styleId="UnresolvedMention">
    <w:name w:val="Unresolved Mention"/>
    <w:basedOn w:val="DefaultParagraphFont"/>
    <w:uiPriority w:val="99"/>
    <w:semiHidden/>
    <w:unhideWhenUsed/>
    <w:rsid w:val="008A684C"/>
    <w:rPr>
      <w:color w:val="605E5C"/>
      <w:shd w:val="clear" w:color="auto" w:fill="E1DFDD"/>
    </w:rPr>
  </w:style>
  <w:style w:type="table" w:styleId="ListTable3-Accent1">
    <w:name w:val="List Table 3 Accent 1"/>
    <w:basedOn w:val="TableNormal"/>
    <w:uiPriority w:val="48"/>
    <w:rsid w:val="00D43C9F"/>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Grid">
    <w:name w:val="Table Grid"/>
    <w:basedOn w:val="TableNormal"/>
    <w:uiPriority w:val="39"/>
    <w:rsid w:val="009C4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7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FFE"/>
  </w:style>
  <w:style w:type="paragraph" w:styleId="Footer">
    <w:name w:val="footer"/>
    <w:basedOn w:val="Normal"/>
    <w:link w:val="FooterChar"/>
    <w:uiPriority w:val="99"/>
    <w:unhideWhenUsed/>
    <w:rsid w:val="00BF7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techbooks.org/id/problem_framing" TargetMode="External"/><Relationship Id="rId13" Type="http://schemas.openxmlformats.org/officeDocument/2006/relationships/hyperlink" Target="https://doi.org/10.14434/ijdl.v9i1.23459" TargetMode="External"/><Relationship Id="rId18" Type="http://schemas.openxmlformats.org/officeDocument/2006/relationships/hyperlink" Target="https://www.civicsoftechnology.o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edtechbooks.org/applied_ethics_idt/integrating_ethics_into_id_courses" TargetMode="External"/><Relationship Id="rId12" Type="http://schemas.openxmlformats.org/officeDocument/2006/relationships/hyperlink" Target="https://doi.org/10.14434/ijdl.v9i1.23459" TargetMode="External"/><Relationship Id="rId17" Type="http://schemas.openxmlformats.org/officeDocument/2006/relationships/hyperlink" Target="https://www.civicsoftechnology.org/edtechaudit"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civicsoftechnology.org/edtechaudi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article/10.1007/s12528-024-09409-1"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doi.org/10.14434/ijdl.v15i3.37742" TargetMode="External"/><Relationship Id="rId23" Type="http://schemas.openxmlformats.org/officeDocument/2006/relationships/customXml" Target="../customXml/item1.xml"/><Relationship Id="rId10" Type="http://schemas.openxmlformats.org/officeDocument/2006/relationships/hyperlink" Target="https://link.springer.com/article/10.1007/s12528-024-09409-1" TargetMode="External"/><Relationship Id="rId19" Type="http://schemas.openxmlformats.org/officeDocument/2006/relationships/hyperlink" Target="https://www.civicsoftechnology.org/" TargetMode="External"/><Relationship Id="rId4" Type="http://schemas.openxmlformats.org/officeDocument/2006/relationships/webSettings" Target="webSettings.xml"/><Relationship Id="rId9" Type="http://schemas.openxmlformats.org/officeDocument/2006/relationships/hyperlink" Target="https://doi.org/10.59668/164.4543" TargetMode="External"/><Relationship Id="rId14" Type="http://schemas.openxmlformats.org/officeDocument/2006/relationships/hyperlink" Target="https://doi.org/10.14434/ijdl.v9i1.22648"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B953E6-ABCB-4206-9DCD-1EC5E968EC8C}"/>
</file>

<file path=customXml/itemProps2.xml><?xml version="1.0" encoding="utf-8"?>
<ds:datastoreItem xmlns:ds="http://schemas.openxmlformats.org/officeDocument/2006/customXml" ds:itemID="{F7CB2D2D-92EB-4A16-BEE9-907E6DA77BC2}"/>
</file>

<file path=customXml/itemProps3.xml><?xml version="1.0" encoding="utf-8"?>
<ds:datastoreItem xmlns:ds="http://schemas.openxmlformats.org/officeDocument/2006/customXml" ds:itemID="{15B52C54-1B42-43EA-B6AE-80D409F07CAD}"/>
</file>

<file path=docProps/app.xml><?xml version="1.0" encoding="utf-8"?>
<Properties xmlns="http://schemas.openxmlformats.org/officeDocument/2006/extended-properties" xmlns:vt="http://schemas.openxmlformats.org/officeDocument/2006/docPropsVTypes">
  <Template>Normal.dotm</Template>
  <TotalTime>38</TotalTime>
  <Pages>5</Pages>
  <Words>1511</Words>
  <Characters>9146</Characters>
  <Application>Microsoft Office Word</Application>
  <DocSecurity>0</DocSecurity>
  <Lines>220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Moore</dc:creator>
  <cp:keywords/>
  <dc:description/>
  <cp:lastModifiedBy>Larson, Miriam</cp:lastModifiedBy>
  <cp:revision>33</cp:revision>
  <dcterms:created xsi:type="dcterms:W3CDTF">2025-08-17T14:58:00Z</dcterms:created>
  <dcterms:modified xsi:type="dcterms:W3CDTF">2026-05-27T02:50:00Z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