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A8E9E2" w14:textId="7411C2BE" w:rsidR="008F36AE" w:rsidRDefault="00BB4693" w:rsidP="0091563C">
      <w:pPr>
        <w:pStyle w:val="Heading1"/>
      </w:pPr>
      <w:r>
        <w:t>Streamlined ID – Practices for Embedded Ethics in Instructional Design</w:t>
      </w:r>
    </w:p>
    <w:p w14:paraId="0D172CD6" w14:textId="40C722EF" w:rsidR="00BB4693" w:rsidRDefault="00BB4693">
      <w:r>
        <w:t>There are numerous practices that designers use in the field to incorporate ethics into their professional practice</w:t>
      </w:r>
      <w:r w:rsidR="004E406F">
        <w:t>s</w:t>
      </w:r>
      <w:r>
        <w:t xml:space="preserve">. This handout summarizes some big ideas </w:t>
      </w:r>
      <w:r w:rsidR="004E406F">
        <w:t xml:space="preserve">and </w:t>
      </w:r>
      <w:r>
        <w:t xml:space="preserve">various </w:t>
      </w:r>
      <w:proofErr w:type="gramStart"/>
      <w:r>
        <w:t>approaches,</w:t>
      </w:r>
      <w:proofErr w:type="gramEnd"/>
      <w:r>
        <w:t xml:space="preserve"> methods and techniques identified through research on ethics in instructional design. </w:t>
      </w:r>
    </w:p>
    <w:p w14:paraId="6C000811" w14:textId="1E3181E4" w:rsidR="00BB4693" w:rsidRDefault="00BB4693" w:rsidP="0091563C">
      <w:pPr>
        <w:pStyle w:val="Heading1"/>
      </w:pPr>
      <w:r>
        <w:t>Key Practices for Ethics in ID</w:t>
      </w:r>
    </w:p>
    <w:p w14:paraId="614B2610" w14:textId="1E512B7F" w:rsidR="00BB4693" w:rsidRDefault="00BB4693" w:rsidP="00BB4693">
      <w:r>
        <w:t xml:space="preserve">(from Gray &amp; Boling, </w:t>
      </w:r>
      <w:hyperlink r:id="rId6" w:history="1">
        <w:r w:rsidRPr="00BB4693">
          <w:rPr>
            <w:rStyle w:val="Hyperlink"/>
          </w:rPr>
          <w:t>2016</w:t>
        </w:r>
      </w:hyperlink>
      <w:r>
        <w:t xml:space="preserve"> and Moore &amp; Tillberg-Webb, </w:t>
      </w:r>
      <w:hyperlink r:id="rId7" w:history="1">
        <w:r w:rsidRPr="00BB4693">
          <w:rPr>
            <w:rStyle w:val="Hyperlink"/>
          </w:rPr>
          <w:t>2023</w:t>
        </w:r>
      </w:hyperlink>
      <w:r>
        <w:t xml:space="preserve">, </w:t>
      </w:r>
      <w:hyperlink r:id="rId8" w:history="1">
        <w:r w:rsidRPr="00BB4693">
          <w:rPr>
            <w:rStyle w:val="Hyperlink"/>
          </w:rPr>
          <w:t>2024a</w:t>
        </w:r>
      </w:hyperlink>
      <w:r>
        <w:t xml:space="preserve"> and </w:t>
      </w:r>
      <w:hyperlink r:id="rId9" w:history="1">
        <w:r w:rsidRPr="00BB4693">
          <w:rPr>
            <w:rStyle w:val="Hyperlink"/>
          </w:rPr>
          <w:t>2024b</w:t>
        </w:r>
      </w:hyperlink>
      <w:r>
        <w:t>)</w:t>
      </w:r>
    </w:p>
    <w:p w14:paraId="7C2BF318" w14:textId="26A465B7" w:rsidR="00BB4693" w:rsidRDefault="00BB4693" w:rsidP="00BB4693">
      <w:r>
        <w:rPr>
          <w:noProof/>
        </w:rPr>
        <w:drawing>
          <wp:anchor distT="0" distB="0" distL="114300" distR="114300" simplePos="0" relativeHeight="251658240" behindDoc="0" locked="0" layoutInCell="1" allowOverlap="1" wp14:anchorId="7765039F" wp14:editId="70615C73">
            <wp:simplePos x="0" y="0"/>
            <wp:positionH relativeFrom="column">
              <wp:posOffset>0</wp:posOffset>
            </wp:positionH>
            <wp:positionV relativeFrom="paragraph">
              <wp:posOffset>-1905</wp:posOffset>
            </wp:positionV>
            <wp:extent cx="3168650" cy="3056140"/>
            <wp:effectExtent l="0" t="0" r="0" b="0"/>
            <wp:wrapSquare wrapText="bothSides"/>
            <wp:docPr id="1438042123" name="Picture 1" descr="A diagram of a circular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042123" name="Picture 1" descr="A diagram of a circular diagram&#10;&#10;AI-generated content may be incorrect."/>
                    <pic:cNvPicPr/>
                  </pic:nvPicPr>
                  <pic:blipFill rotWithShape="1">
                    <a:blip r:embed="rId10" cstate="print">
                      <a:extLst>
                        <a:ext uri="{28A0092B-C50C-407E-A947-70E740481C1C}">
                          <a14:useLocalDpi xmlns:a14="http://schemas.microsoft.com/office/drawing/2010/main" val="0"/>
                        </a:ext>
                      </a:extLst>
                    </a:blip>
                    <a:srcRect l="21117" r="18169"/>
                    <a:stretch>
                      <a:fillRect/>
                    </a:stretch>
                  </pic:blipFill>
                  <pic:spPr bwMode="auto">
                    <a:xfrm>
                      <a:off x="0" y="0"/>
                      <a:ext cx="3168650" cy="3056140"/>
                    </a:xfrm>
                    <a:prstGeom prst="rect">
                      <a:avLst/>
                    </a:prstGeom>
                    <a:ln>
                      <a:noFill/>
                    </a:ln>
                    <a:extLst>
                      <a:ext uri="{53640926-AAD7-44D8-BBD7-CCE9431645EC}">
                        <a14:shadowObscured xmlns:a14="http://schemas.microsoft.com/office/drawing/2010/main"/>
                      </a:ext>
                    </a:extLst>
                  </pic:spPr>
                </pic:pic>
              </a:graphicData>
            </a:graphic>
          </wp:anchor>
        </w:drawing>
      </w:r>
      <w:r w:rsidRPr="00BB4693">
        <w:rPr>
          <w:b/>
          <w:bCs/>
        </w:rPr>
        <w:t>Design Philosophies:</w:t>
      </w:r>
      <w:r>
        <w:t xml:space="preserve"> Designers or teams explicitly articulate a </w:t>
      </w:r>
      <w:r w:rsidR="004E406F">
        <w:t xml:space="preserve">shared </w:t>
      </w:r>
      <w:r>
        <w:t>commitment to particular</w:t>
      </w:r>
      <w:r w:rsidR="004E406F">
        <w:t xml:space="preserve"> priorities or </w:t>
      </w:r>
      <w:r>
        <w:t>principles, such as accessibility or equity, or an ethical orientation (e.g., care ethics)</w:t>
      </w:r>
    </w:p>
    <w:p w14:paraId="273A00FA" w14:textId="5C6C65FA" w:rsidR="00BB4693" w:rsidRDefault="00BB4693" w:rsidP="00BB4693">
      <w:r w:rsidRPr="00BB4693">
        <w:rPr>
          <w:b/>
          <w:bCs/>
        </w:rPr>
        <w:t>Problem Framing:</w:t>
      </w:r>
      <w:r>
        <w:t xml:space="preserve"> Designers or teams exercise “framing agency” (</w:t>
      </w:r>
      <w:hyperlink r:id="rId11" w:history="1">
        <w:r w:rsidRPr="003A2A22">
          <w:rPr>
            <w:rStyle w:val="Hyperlink"/>
          </w:rPr>
          <w:t>Svihla, 2020</w:t>
        </w:r>
      </w:hyperlink>
      <w:r>
        <w:t>) by framing ethical considerations into their work generally and into specific projects</w:t>
      </w:r>
      <w:r w:rsidR="004E406F">
        <w:t xml:space="preserve"> as</w:t>
      </w:r>
      <w:r>
        <w:t xml:space="preserve"> </w:t>
      </w:r>
      <w:r w:rsidR="003A2A22">
        <w:t>design considerations</w:t>
      </w:r>
    </w:p>
    <w:p w14:paraId="692F9AFF" w14:textId="2817DF63" w:rsidR="003A2A22" w:rsidRDefault="003A2A22" w:rsidP="00BB4693">
      <w:r w:rsidRPr="003A2A22">
        <w:rPr>
          <w:b/>
          <w:bCs/>
        </w:rPr>
        <w:t>Ethical Analysis:</w:t>
      </w:r>
      <w:r>
        <w:t xml:space="preserve"> A front-end analysis for identifying both potential harms and potential benefits that inform design specifications or constraints (</w:t>
      </w:r>
      <w:hyperlink r:id="rId12" w:history="1">
        <w:r w:rsidRPr="003A2A22">
          <w:rPr>
            <w:rStyle w:val="Hyperlink"/>
          </w:rPr>
          <w:t>Moore et al., 2024</w:t>
        </w:r>
      </w:hyperlink>
      <w:r>
        <w:t>)</w:t>
      </w:r>
    </w:p>
    <w:p w14:paraId="06B012E6" w14:textId="58B07F4C" w:rsidR="003A2A22" w:rsidRDefault="003A2A22" w:rsidP="00BB4693">
      <w:r w:rsidRPr="003A2A22">
        <w:rPr>
          <w:b/>
          <w:bCs/>
        </w:rPr>
        <w:t>Stakeholder Involvement:</w:t>
      </w:r>
      <w:r>
        <w:t xml:space="preserve"> </w:t>
      </w:r>
      <w:r w:rsidR="004E406F">
        <w:t>Designers i</w:t>
      </w:r>
      <w:r>
        <w:t>nvolve those who will be most impacted, a central activity that ensures a human-centric approach</w:t>
      </w:r>
      <w:r w:rsidR="004E406F">
        <w:t xml:space="preserve"> (c.f., </w:t>
      </w:r>
      <w:r>
        <w:t xml:space="preserve">participatory </w:t>
      </w:r>
      <w:proofErr w:type="gramStart"/>
      <w:r>
        <w:t>design</w:t>
      </w:r>
      <w:proofErr w:type="gramEnd"/>
      <w:r>
        <w:t xml:space="preserve"> and design-based research</w:t>
      </w:r>
      <w:r w:rsidR="004E406F">
        <w:t>)</w:t>
      </w:r>
    </w:p>
    <w:p w14:paraId="606F32D3" w14:textId="77767EF3" w:rsidR="003A2A22" w:rsidRDefault="003A2A22" w:rsidP="00BB4693">
      <w:r w:rsidRPr="003A2A22">
        <w:rPr>
          <w:b/>
          <w:bCs/>
        </w:rPr>
        <w:t xml:space="preserve">Reflection-in-action: </w:t>
      </w:r>
      <w:r>
        <w:t xml:space="preserve">Designers identify specific ethical considerations then develop questions they ask throughout every stage </w:t>
      </w:r>
      <w:r w:rsidR="00D357B5">
        <w:t xml:space="preserve">as </w:t>
      </w:r>
      <w:r>
        <w:t>they iteratively reflect on their design</w:t>
      </w:r>
    </w:p>
    <w:p w14:paraId="33DC145B" w14:textId="55EC94EF" w:rsidR="003A2A22" w:rsidRDefault="003A2A22" w:rsidP="00BB4693">
      <w:r w:rsidRPr="004E406F">
        <w:rPr>
          <w:b/>
          <w:bCs/>
        </w:rPr>
        <w:t>Critical or Speculative Design:</w:t>
      </w:r>
      <w:r>
        <w:t xml:space="preserve"> </w:t>
      </w:r>
      <w:r w:rsidR="004E406F">
        <w:t xml:space="preserve">Designers use design to foreground ethical, social, and cultural issues by illuminating these aspects in their design or imagining different possible futures, both positive and negative, through front-end brainstorming and ideation (e.g., </w:t>
      </w:r>
      <w:hyperlink r:id="rId13" w:history="1">
        <w:r w:rsidR="00D357B5" w:rsidRPr="00D357B5">
          <w:rPr>
            <w:rStyle w:val="Hyperlink"/>
          </w:rPr>
          <w:t>Arnold &amp; Viselli, 2024</w:t>
        </w:r>
      </w:hyperlink>
      <w:r w:rsidR="00D357B5">
        <w:t xml:space="preserve">; </w:t>
      </w:r>
      <w:hyperlink r:id="rId14" w:history="1">
        <w:r w:rsidR="00D357B5" w:rsidRPr="00D357B5">
          <w:rPr>
            <w:rStyle w:val="Hyperlink"/>
          </w:rPr>
          <w:t>Dunne &amp; Raby, 2024</w:t>
        </w:r>
      </w:hyperlink>
      <w:r w:rsidR="00D357B5">
        <w:t xml:space="preserve">; </w:t>
      </w:r>
      <w:hyperlink r:id="rId15" w:history="1">
        <w:r w:rsidR="004E406F" w:rsidRPr="00D357B5">
          <w:rPr>
            <w:rStyle w:val="Hyperlink"/>
          </w:rPr>
          <w:t>Ferris et al., 2024</w:t>
        </w:r>
      </w:hyperlink>
      <w:r w:rsidR="004E406F">
        <w:t xml:space="preserve">; </w:t>
      </w:r>
      <w:hyperlink r:id="rId16" w:history="1">
        <w:r w:rsidR="00D357B5" w:rsidRPr="00D357B5">
          <w:rPr>
            <w:rStyle w:val="Hyperlink"/>
          </w:rPr>
          <w:t>Litts et al., 2024</w:t>
        </w:r>
      </w:hyperlink>
      <w:r w:rsidR="00D357B5">
        <w:t xml:space="preserve">; </w:t>
      </w:r>
      <w:hyperlink r:id="rId17" w:history="1">
        <w:r w:rsidR="00D357B5" w:rsidRPr="00D357B5">
          <w:rPr>
            <w:rStyle w:val="Hyperlink"/>
          </w:rPr>
          <w:t>Lorraine, 2024</w:t>
        </w:r>
      </w:hyperlink>
      <w:r w:rsidR="00D357B5">
        <w:t xml:space="preserve">; </w:t>
      </w:r>
      <w:hyperlink r:id="rId18" w:history="1">
        <w:r w:rsidR="004E406F" w:rsidRPr="00D357B5">
          <w:rPr>
            <w:rStyle w:val="Hyperlink"/>
          </w:rPr>
          <w:t>Sutherland, 2024</w:t>
        </w:r>
      </w:hyperlink>
      <w:r w:rsidR="00D357B5">
        <w:t>)</w:t>
      </w:r>
    </w:p>
    <w:p w14:paraId="013EF36F" w14:textId="77777777" w:rsidR="00124089" w:rsidRDefault="00124089">
      <w:pPr>
        <w:rPr>
          <w:rFonts w:asciiTheme="majorHAnsi" w:eastAsiaTheme="majorEastAsia" w:hAnsiTheme="majorHAnsi" w:cstheme="majorBidi"/>
          <w:color w:val="0F4761" w:themeColor="accent1" w:themeShade="BF"/>
          <w:sz w:val="32"/>
          <w:szCs w:val="32"/>
        </w:rPr>
      </w:pPr>
      <w:r>
        <w:br w:type="page"/>
      </w:r>
    </w:p>
    <w:p w14:paraId="3FEF0E9F" w14:textId="0BDEE68A" w:rsidR="00D357B5" w:rsidRDefault="00D357B5" w:rsidP="0091563C">
      <w:pPr>
        <w:pStyle w:val="Heading1"/>
      </w:pPr>
      <w:r>
        <w:lastRenderedPageBreak/>
        <w:t xml:space="preserve">Approaches, </w:t>
      </w:r>
      <w:proofErr w:type="gramStart"/>
      <w:r>
        <w:t>Methods</w:t>
      </w:r>
      <w:proofErr w:type="gramEnd"/>
      <w:r>
        <w:t xml:space="preserve"> and Techniques for Ethics in ID</w:t>
      </w:r>
    </w:p>
    <w:p w14:paraId="18BBEB08" w14:textId="00FB9322" w:rsidR="00D357B5" w:rsidRDefault="00D357B5" w:rsidP="00D357B5">
      <w:r>
        <w:t>(</w:t>
      </w:r>
      <w:r w:rsidR="007B497F">
        <w:t xml:space="preserve">examples </w:t>
      </w:r>
      <w:r>
        <w:t xml:space="preserve">from </w:t>
      </w:r>
      <w:hyperlink r:id="rId19" w:history="1">
        <w:r w:rsidRPr="00045957">
          <w:rPr>
            <w:rStyle w:val="Hyperlink"/>
          </w:rPr>
          <w:t xml:space="preserve">Moore, Abramenka-Lachheb, and </w:t>
        </w:r>
        <w:proofErr w:type="spellStart"/>
        <w:r w:rsidRPr="00045957">
          <w:rPr>
            <w:rStyle w:val="Hyperlink"/>
          </w:rPr>
          <w:t>Lachheb</w:t>
        </w:r>
        <w:proofErr w:type="spellEnd"/>
        <w:r w:rsidRPr="00045957">
          <w:rPr>
            <w:rStyle w:val="Hyperlink"/>
          </w:rPr>
          <w:t>, 2025</w:t>
        </w:r>
      </w:hyperlink>
      <w:r>
        <w:t>)</w:t>
      </w:r>
    </w:p>
    <w:tbl>
      <w:tblPr>
        <w:tblStyle w:val="TableGrid"/>
        <w:tblW w:w="9445" w:type="dxa"/>
        <w:tblLayout w:type="fixed"/>
        <w:tblLook w:val="06A0" w:firstRow="1" w:lastRow="0" w:firstColumn="1" w:lastColumn="0" w:noHBand="1" w:noVBand="1"/>
      </w:tblPr>
      <w:tblGrid>
        <w:gridCol w:w="2065"/>
        <w:gridCol w:w="7380"/>
      </w:tblGrid>
      <w:tr w:rsidR="00DA6F37" w14:paraId="7C6C7F7E" w14:textId="77777777" w:rsidTr="007B497F">
        <w:trPr>
          <w:trHeight w:val="300"/>
        </w:trPr>
        <w:tc>
          <w:tcPr>
            <w:tcW w:w="9445" w:type="dxa"/>
            <w:gridSpan w:val="2"/>
            <w:shd w:val="clear" w:color="auto" w:fill="D1D1D1" w:themeFill="background2" w:themeFillShade="E6"/>
          </w:tcPr>
          <w:p w14:paraId="43ED29E1" w14:textId="0F11FF30" w:rsidR="00DA6F37" w:rsidRPr="755BF86F" w:rsidRDefault="00DA6F37" w:rsidP="00CA4419">
            <w:pPr>
              <w:jc w:val="center"/>
              <w:rPr>
                <w:b/>
                <w:bCs/>
              </w:rPr>
            </w:pPr>
            <w:r>
              <w:rPr>
                <w:b/>
                <w:bCs/>
              </w:rPr>
              <w:t>Approaches</w:t>
            </w:r>
          </w:p>
        </w:tc>
      </w:tr>
      <w:tr w:rsidR="00DA6F37" w14:paraId="20170EE4" w14:textId="77777777" w:rsidTr="0091563C">
        <w:trPr>
          <w:trHeight w:val="300"/>
        </w:trPr>
        <w:tc>
          <w:tcPr>
            <w:tcW w:w="2065" w:type="dxa"/>
          </w:tcPr>
          <w:p w14:paraId="6B180718" w14:textId="77777777" w:rsidR="00DA6F37" w:rsidRPr="007B497F" w:rsidRDefault="00DA6F37" w:rsidP="00CA4419">
            <w:pPr>
              <w:rPr>
                <w:b/>
                <w:bCs/>
              </w:rPr>
            </w:pPr>
            <w:r w:rsidRPr="007B497F">
              <w:rPr>
                <w:b/>
                <w:bCs/>
              </w:rPr>
              <w:t>Inclusive Design</w:t>
            </w:r>
          </w:p>
        </w:tc>
        <w:tc>
          <w:tcPr>
            <w:tcW w:w="7380" w:type="dxa"/>
          </w:tcPr>
          <w:p w14:paraId="041E7910" w14:textId="77777777" w:rsidR="00DA6F37" w:rsidRPr="00DA6F37" w:rsidRDefault="00DA6F37" w:rsidP="00CA4419">
            <w:r w:rsidRPr="00DA6F37">
              <w:t>“This overarching goal directed our efforts to foster an inclusive environment to ensure all students felt welcome to participate and inclined to return and invite their friends.” (Cai, et al., 2024, para. 13)</w:t>
            </w:r>
          </w:p>
        </w:tc>
      </w:tr>
      <w:tr w:rsidR="00DA6F37" w14:paraId="44B09EC4" w14:textId="77777777" w:rsidTr="0091563C">
        <w:trPr>
          <w:trHeight w:val="300"/>
        </w:trPr>
        <w:tc>
          <w:tcPr>
            <w:tcW w:w="2065" w:type="dxa"/>
          </w:tcPr>
          <w:p w14:paraId="2FA2FD85" w14:textId="77777777" w:rsidR="00DA6F37" w:rsidRPr="007B497F" w:rsidRDefault="00DA6F37" w:rsidP="00CA4419">
            <w:pPr>
              <w:rPr>
                <w:b/>
                <w:bCs/>
              </w:rPr>
            </w:pPr>
            <w:r w:rsidRPr="007B497F">
              <w:rPr>
                <w:b/>
                <w:bCs/>
              </w:rPr>
              <w:t>Human-centered design/learner-centered Design</w:t>
            </w:r>
          </w:p>
        </w:tc>
        <w:tc>
          <w:tcPr>
            <w:tcW w:w="7380" w:type="dxa"/>
          </w:tcPr>
          <w:p w14:paraId="2D2D7A11" w14:textId="77777777" w:rsidR="00DA6F37" w:rsidRPr="00DA6F37" w:rsidRDefault="00DA6F37" w:rsidP="00CA4419">
            <w:r w:rsidRPr="00DA6F37">
              <w:t>“[...] We are deeply committed to centering our learners’ needs in the design process, which in turn allows us to promote change in systems where biases exist.” (Lowe, D., 2024, para. 37)</w:t>
            </w:r>
          </w:p>
        </w:tc>
      </w:tr>
      <w:tr w:rsidR="00DA6F37" w14:paraId="53E8D44D" w14:textId="77777777" w:rsidTr="0091563C">
        <w:trPr>
          <w:trHeight w:val="300"/>
        </w:trPr>
        <w:tc>
          <w:tcPr>
            <w:tcW w:w="2065" w:type="dxa"/>
          </w:tcPr>
          <w:p w14:paraId="28A1B6A0" w14:textId="77777777" w:rsidR="00DA6F37" w:rsidRPr="007B497F" w:rsidRDefault="00DA6F37" w:rsidP="00CA4419">
            <w:pPr>
              <w:rPr>
                <w:b/>
                <w:bCs/>
              </w:rPr>
            </w:pPr>
            <w:r w:rsidRPr="007B497F">
              <w:rPr>
                <w:b/>
                <w:bCs/>
              </w:rPr>
              <w:t>Critical Design</w:t>
            </w:r>
          </w:p>
        </w:tc>
        <w:tc>
          <w:tcPr>
            <w:tcW w:w="7380" w:type="dxa"/>
          </w:tcPr>
          <w:p w14:paraId="0F7D45BB" w14:textId="77777777" w:rsidR="00DA6F37" w:rsidRPr="00DA6F37" w:rsidRDefault="00DA6F37" w:rsidP="00CA4419">
            <w:r w:rsidRPr="00DA6F37">
              <w:t>“Framed by culturally sustaining/revitalizing pedagogy (McCarty &amp; Lee, 2014) and critical technical practice (Agre, 1997b), we explore: how do we ethically develop culturally sustaining/revitalizing representations of Indigenous narrative(s)?” (Litts et al., 2024, para. 4)</w:t>
            </w:r>
          </w:p>
        </w:tc>
      </w:tr>
      <w:tr w:rsidR="00DA6F37" w14:paraId="047F3A26" w14:textId="77777777" w:rsidTr="0091563C">
        <w:trPr>
          <w:trHeight w:val="300"/>
        </w:trPr>
        <w:tc>
          <w:tcPr>
            <w:tcW w:w="2065" w:type="dxa"/>
          </w:tcPr>
          <w:p w14:paraId="262575C0" w14:textId="77777777" w:rsidR="00DA6F37" w:rsidRPr="007B497F" w:rsidRDefault="00DA6F37" w:rsidP="00CA4419">
            <w:pPr>
              <w:rPr>
                <w:b/>
                <w:bCs/>
              </w:rPr>
            </w:pPr>
            <w:r w:rsidRPr="007B497F">
              <w:rPr>
                <w:b/>
                <w:bCs/>
              </w:rPr>
              <w:t>Visionary design / futurism</w:t>
            </w:r>
          </w:p>
        </w:tc>
        <w:tc>
          <w:tcPr>
            <w:tcW w:w="7380" w:type="dxa"/>
          </w:tcPr>
          <w:p w14:paraId="03E50862" w14:textId="0B36B51E" w:rsidR="00DA6F37" w:rsidRPr="00DA6F37" w:rsidRDefault="00DA6F37" w:rsidP="00CA4419">
            <w:r w:rsidRPr="00DA6F37">
              <w:t xml:space="preserve">“Artifacts from the future are fictional objects created to give a </w:t>
            </w:r>
            <w:r w:rsidR="007F2BD0">
              <w:t>‘</w:t>
            </w:r>
            <w:r w:rsidRPr="00DA6F37">
              <w:t>tangible</w:t>
            </w:r>
            <w:r w:rsidR="007F2BD0">
              <w:t>’</w:t>
            </w:r>
            <w:r w:rsidRPr="00DA6F37">
              <w:t xml:space="preserve"> experience of a possible future. They are intentionally provocative and intended to spark critical and creative conversations and reflections about future possibilities.” (Arnold &amp; Viselli, 2024, para. 6)</w:t>
            </w:r>
          </w:p>
        </w:tc>
      </w:tr>
      <w:tr w:rsidR="00DA6F37" w14:paraId="3E4D8A1C" w14:textId="77777777" w:rsidTr="007B497F">
        <w:trPr>
          <w:trHeight w:val="300"/>
        </w:trPr>
        <w:tc>
          <w:tcPr>
            <w:tcW w:w="9445" w:type="dxa"/>
            <w:gridSpan w:val="2"/>
            <w:shd w:val="clear" w:color="auto" w:fill="D1D1D1" w:themeFill="background2" w:themeFillShade="E6"/>
          </w:tcPr>
          <w:p w14:paraId="2A093546" w14:textId="147EFFCE" w:rsidR="00DA6F37" w:rsidRPr="00DA6F37" w:rsidRDefault="00DA6F37" w:rsidP="00DA6F37">
            <w:pPr>
              <w:jc w:val="center"/>
              <w:rPr>
                <w:b/>
                <w:bCs/>
              </w:rPr>
            </w:pPr>
            <w:r w:rsidRPr="00DA6F37">
              <w:rPr>
                <w:b/>
                <w:bCs/>
              </w:rPr>
              <w:t>Methods</w:t>
            </w:r>
          </w:p>
        </w:tc>
      </w:tr>
      <w:tr w:rsidR="00DA6F37" w14:paraId="176B33B8" w14:textId="77777777" w:rsidTr="0091563C">
        <w:trPr>
          <w:trHeight w:val="300"/>
        </w:trPr>
        <w:tc>
          <w:tcPr>
            <w:tcW w:w="2065" w:type="dxa"/>
          </w:tcPr>
          <w:p w14:paraId="7A2EE69F" w14:textId="2A748B6B" w:rsidR="00DA6F37" w:rsidRPr="007B497F" w:rsidRDefault="00DA6F37" w:rsidP="00DA6F37">
            <w:pPr>
              <w:rPr>
                <w:b/>
                <w:bCs/>
                <w:i/>
                <w:iCs/>
              </w:rPr>
            </w:pPr>
            <w:r w:rsidRPr="007B497F">
              <w:rPr>
                <w:b/>
                <w:bCs/>
              </w:rPr>
              <w:t xml:space="preserve">Stakeholder Involvement </w:t>
            </w:r>
          </w:p>
        </w:tc>
        <w:tc>
          <w:tcPr>
            <w:tcW w:w="7380" w:type="dxa"/>
          </w:tcPr>
          <w:p w14:paraId="74526149" w14:textId="6CBF38AD" w:rsidR="00DA6F37" w:rsidRPr="00DA6F37" w:rsidRDefault="00DA6F37" w:rsidP="00DA6F37">
            <w:r w:rsidRPr="00DA6F37">
              <w:t>“Our team engaged an iterative and reflexive design process with Indigenous and non-Indigenous community members, educators, designers, and researchers.” (Litts et al., 2024, para 1)</w:t>
            </w:r>
          </w:p>
        </w:tc>
      </w:tr>
      <w:tr w:rsidR="00DA6F37" w14:paraId="747CE528" w14:textId="77777777" w:rsidTr="0091563C">
        <w:trPr>
          <w:trHeight w:val="300"/>
        </w:trPr>
        <w:tc>
          <w:tcPr>
            <w:tcW w:w="2065" w:type="dxa"/>
          </w:tcPr>
          <w:p w14:paraId="58982253" w14:textId="541549E2" w:rsidR="00DA6F37" w:rsidRPr="007B497F" w:rsidRDefault="00DA6F37" w:rsidP="00DA6F37">
            <w:pPr>
              <w:rPr>
                <w:b/>
                <w:bCs/>
                <w:i/>
                <w:iCs/>
              </w:rPr>
            </w:pPr>
            <w:r w:rsidRPr="007B497F">
              <w:rPr>
                <w:b/>
                <w:bCs/>
              </w:rPr>
              <w:t>Reflection-in-action</w:t>
            </w:r>
          </w:p>
        </w:tc>
        <w:tc>
          <w:tcPr>
            <w:tcW w:w="7380" w:type="dxa"/>
          </w:tcPr>
          <w:p w14:paraId="5F69AF74" w14:textId="7EEE29B3" w:rsidR="00DA6F37" w:rsidRPr="00DA6F37" w:rsidRDefault="00DA6F37" w:rsidP="00DA6F37">
            <w:r w:rsidRPr="00DA6F37">
              <w:t>Reflection-in-action: “Through our process of working through (re)presentation, we generated three guiding considerations for our prototyping that served to anchor us to the story itself and our shared values.” (Litts et al., 2024, para 43)</w:t>
            </w:r>
          </w:p>
        </w:tc>
      </w:tr>
      <w:tr w:rsidR="00DA6F37" w14:paraId="719E4DFA" w14:textId="77777777" w:rsidTr="0091563C">
        <w:trPr>
          <w:trHeight w:val="300"/>
        </w:trPr>
        <w:tc>
          <w:tcPr>
            <w:tcW w:w="2065" w:type="dxa"/>
          </w:tcPr>
          <w:p w14:paraId="4B74DA56" w14:textId="4FC03DEA" w:rsidR="00DA6F37" w:rsidRPr="007B497F" w:rsidRDefault="00DA6F37" w:rsidP="00DA6F37">
            <w:pPr>
              <w:rPr>
                <w:b/>
                <w:bCs/>
                <w:i/>
                <w:iCs/>
              </w:rPr>
            </w:pPr>
            <w:r w:rsidRPr="007B497F">
              <w:rPr>
                <w:b/>
                <w:bCs/>
              </w:rPr>
              <w:t>Reflection-on-action</w:t>
            </w:r>
          </w:p>
        </w:tc>
        <w:tc>
          <w:tcPr>
            <w:tcW w:w="7380" w:type="dxa"/>
          </w:tcPr>
          <w:p w14:paraId="5CE8FF7D" w14:textId="11C2A4C0" w:rsidR="00DA6F37" w:rsidRPr="00DA6F37" w:rsidRDefault="00DA6F37" w:rsidP="00DA6F37">
            <w:r w:rsidRPr="00DA6F37">
              <w:t>“While we attempted to frame our efforts and link our strategies to notions of Tricia Hersey’s “Rest is Resistance,” some participants rejected the activities as not productive. Yet, we firmly believe that these creative endeavors are essential in envisioning changes that lead to inclusive environments.” (Ferris et al., 2024, para. 10)</w:t>
            </w:r>
          </w:p>
        </w:tc>
      </w:tr>
      <w:tr w:rsidR="00DA6F37" w14:paraId="3D8292DD" w14:textId="77777777" w:rsidTr="0091563C">
        <w:trPr>
          <w:trHeight w:val="300"/>
        </w:trPr>
        <w:tc>
          <w:tcPr>
            <w:tcW w:w="2065" w:type="dxa"/>
          </w:tcPr>
          <w:p w14:paraId="43692FA7" w14:textId="1D14198B" w:rsidR="00DA6F37" w:rsidRPr="007B497F" w:rsidRDefault="00DA6F37" w:rsidP="00DA6F37">
            <w:pPr>
              <w:rPr>
                <w:b/>
                <w:bCs/>
                <w:i/>
                <w:iCs/>
              </w:rPr>
            </w:pPr>
            <w:r w:rsidRPr="007B497F">
              <w:rPr>
                <w:b/>
                <w:bCs/>
              </w:rPr>
              <w:t>Needs or root cause analysis</w:t>
            </w:r>
          </w:p>
        </w:tc>
        <w:tc>
          <w:tcPr>
            <w:tcW w:w="7380" w:type="dxa"/>
          </w:tcPr>
          <w:p w14:paraId="3555F41B" w14:textId="733722CD" w:rsidR="00DA6F37" w:rsidRPr="00DA6F37" w:rsidRDefault="00DA6F37" w:rsidP="00DA6F37">
            <w:r w:rsidRPr="00DA6F37">
              <w:t>“Applying the perspectives of care-based ethics (Chowning &amp; Fraser, 2007, p. 22), we examined the program’s physical space, resources, and the roles of coaches, aiming to identify any aspects embedded in the program structure that might unfairly affect the experience of certain groups.” (Cai et al., 2024, para. 30)</w:t>
            </w:r>
          </w:p>
        </w:tc>
      </w:tr>
      <w:tr w:rsidR="00DA6F37" w14:paraId="73C46B52" w14:textId="77777777" w:rsidTr="007B497F">
        <w:trPr>
          <w:trHeight w:val="300"/>
        </w:trPr>
        <w:tc>
          <w:tcPr>
            <w:tcW w:w="9445" w:type="dxa"/>
            <w:gridSpan w:val="2"/>
            <w:shd w:val="clear" w:color="auto" w:fill="D1D1D1" w:themeFill="background2" w:themeFillShade="E6"/>
          </w:tcPr>
          <w:p w14:paraId="4822A298" w14:textId="7CDED799" w:rsidR="00DA6F37" w:rsidRPr="00DA6F37" w:rsidRDefault="00DA6F37" w:rsidP="00DA6F37">
            <w:pPr>
              <w:jc w:val="center"/>
              <w:rPr>
                <w:b/>
                <w:bCs/>
              </w:rPr>
            </w:pPr>
            <w:r>
              <w:rPr>
                <w:b/>
                <w:bCs/>
              </w:rPr>
              <w:t>Techniques</w:t>
            </w:r>
          </w:p>
        </w:tc>
      </w:tr>
      <w:tr w:rsidR="00DA6F37" w14:paraId="70FB7E01" w14:textId="77777777" w:rsidTr="0091563C">
        <w:trPr>
          <w:trHeight w:val="300"/>
        </w:trPr>
        <w:tc>
          <w:tcPr>
            <w:tcW w:w="2065" w:type="dxa"/>
          </w:tcPr>
          <w:p w14:paraId="2EB4FE0E" w14:textId="76AE9093" w:rsidR="00DA6F37" w:rsidRPr="007B497F" w:rsidRDefault="00DA6F37" w:rsidP="00DA6F37">
            <w:pPr>
              <w:rPr>
                <w:b/>
                <w:bCs/>
              </w:rPr>
            </w:pPr>
            <w:r w:rsidRPr="007B497F">
              <w:rPr>
                <w:b/>
                <w:bCs/>
              </w:rPr>
              <w:t>Brainstorming protocols</w:t>
            </w:r>
          </w:p>
        </w:tc>
        <w:tc>
          <w:tcPr>
            <w:tcW w:w="7380" w:type="dxa"/>
          </w:tcPr>
          <w:p w14:paraId="70831CF9" w14:textId="37744541" w:rsidR="00DA6F37" w:rsidRPr="00DA6F37" w:rsidRDefault="00DA6F37" w:rsidP="00DA6F37">
            <w:r w:rsidRPr="00DA6F37">
              <w:t>“</w:t>
            </w:r>
            <w:r w:rsidR="00124089">
              <w:t>…</w:t>
            </w:r>
            <w:r w:rsidRPr="00DA6F37">
              <w:t xml:space="preserve"> to balance these considerations, we developed the Wrong Theory Protocol (WTP), which asks designers to generate ideas that are specifically harmful and humiliating, before even beginning to consider possible beneficial solutions to the problem.”  (Wilson-Fetrow &amp; Svihla, 2024, para. 2)</w:t>
            </w:r>
          </w:p>
        </w:tc>
      </w:tr>
      <w:tr w:rsidR="00DA6F37" w14:paraId="58FCBF3D" w14:textId="77777777" w:rsidTr="0091563C">
        <w:trPr>
          <w:trHeight w:val="300"/>
        </w:trPr>
        <w:tc>
          <w:tcPr>
            <w:tcW w:w="2065" w:type="dxa"/>
          </w:tcPr>
          <w:p w14:paraId="596CA063" w14:textId="4CB0ED18" w:rsidR="00DA6F37" w:rsidRPr="007B497F" w:rsidRDefault="00DA6F37" w:rsidP="00DA6F37">
            <w:pPr>
              <w:rPr>
                <w:b/>
                <w:bCs/>
              </w:rPr>
            </w:pPr>
            <w:r w:rsidRPr="007B497F">
              <w:rPr>
                <w:b/>
                <w:bCs/>
              </w:rPr>
              <w:t>Journaling</w:t>
            </w:r>
          </w:p>
        </w:tc>
        <w:tc>
          <w:tcPr>
            <w:tcW w:w="7380" w:type="dxa"/>
          </w:tcPr>
          <w:p w14:paraId="3751D247" w14:textId="03F16713" w:rsidR="00DA6F37" w:rsidRPr="00DA6F37" w:rsidRDefault="00DA6F37" w:rsidP="00DA6F37">
            <w:r w:rsidRPr="00DA6F37">
              <w:t>“As we gained familiarity with the practice of individual reflection, we replaced the reflection form with a more free-form journaling activity.” (Lowe et al., 2024, para.17)</w:t>
            </w:r>
          </w:p>
        </w:tc>
      </w:tr>
    </w:tbl>
    <w:p w14:paraId="0C8C1F58" w14:textId="77777777" w:rsidR="00D357B5" w:rsidRPr="00D357B5" w:rsidRDefault="00D357B5" w:rsidP="0091563C"/>
    <w:sectPr w:rsidR="00D357B5" w:rsidRPr="00D357B5" w:rsidSect="00DF627D">
      <w:footerReference w:type="default" r:id="rId20"/>
      <w:pgSz w:w="12240" w:h="15840"/>
      <w:pgMar w:top="1296" w:right="1440" w:bottom="129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43C9BB" w14:textId="77777777" w:rsidR="009860C1" w:rsidRDefault="009860C1" w:rsidP="00C83E33">
      <w:pPr>
        <w:spacing w:after="0" w:line="240" w:lineRule="auto"/>
      </w:pPr>
      <w:r>
        <w:separator/>
      </w:r>
    </w:p>
  </w:endnote>
  <w:endnote w:type="continuationSeparator" w:id="0">
    <w:p w14:paraId="35873CE9" w14:textId="77777777" w:rsidR="009860C1" w:rsidRDefault="009860C1" w:rsidP="00C83E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2247095"/>
      <w:docPartObj>
        <w:docPartGallery w:val="Page Numbers (Bottom of Page)"/>
        <w:docPartUnique/>
      </w:docPartObj>
    </w:sdtPr>
    <w:sdtContent>
      <w:sdt>
        <w:sdtPr>
          <w:id w:val="-1769616900"/>
          <w:docPartObj>
            <w:docPartGallery w:val="Page Numbers (Top of Page)"/>
            <w:docPartUnique/>
          </w:docPartObj>
        </w:sdtPr>
        <w:sdtContent>
          <w:p w14:paraId="3AFFBEF2" w14:textId="77777777" w:rsidR="00745327" w:rsidRDefault="00745327" w:rsidP="00745327">
            <w:pPr>
              <w:pStyle w:val="Footer"/>
            </w:pPr>
            <w:r>
              <w:rPr>
                <w:noProof/>
              </w:rPr>
              <w:drawing>
                <wp:anchor distT="0" distB="0" distL="114300" distR="114300" simplePos="0" relativeHeight="251659264" behindDoc="0" locked="0" layoutInCell="1" allowOverlap="1" wp14:anchorId="3EB074D9" wp14:editId="127F83F3">
                  <wp:simplePos x="0" y="0"/>
                  <wp:positionH relativeFrom="margin">
                    <wp:align>left</wp:align>
                  </wp:positionH>
                  <wp:positionV relativeFrom="paragraph">
                    <wp:posOffset>3810</wp:posOffset>
                  </wp:positionV>
                  <wp:extent cx="646043" cy="226035"/>
                  <wp:effectExtent l="0" t="0" r="1905" b="3175"/>
                  <wp:wrapSquare wrapText="bothSides"/>
                  <wp:docPr id="2145211361" name="Picture 1" descr="A sign with a person and dollar symb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211361" name="Picture 1" descr="A sign with a person and dollar symbol&#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646043" cy="226035"/>
                          </a:xfrm>
                          <a:prstGeom prst="rect">
                            <a:avLst/>
                          </a:prstGeom>
                        </pic:spPr>
                      </pic:pic>
                    </a:graphicData>
                  </a:graphic>
                </wp:anchor>
              </w:drawing>
            </w:r>
            <w:r>
              <w:t>This work is licensed under a Creative Commons Attribution 4.0 International License.</w:t>
            </w:r>
          </w:p>
          <w:p w14:paraId="004D2375" w14:textId="77777777" w:rsidR="00745327" w:rsidRDefault="00745327" w:rsidP="00745327">
            <w:pPr>
              <w:pStyle w:val="Footer"/>
            </w:pPr>
            <w:r>
              <w:t>Created by Stephanie Moore and Heather Tillberg-Webb</w:t>
            </w:r>
          </w:p>
          <w:p w14:paraId="0BB5EC25" w14:textId="2A55F54E" w:rsidR="00745327" w:rsidRDefault="00745327" w:rsidP="00745327">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0AD0BE" w14:textId="77777777" w:rsidR="009860C1" w:rsidRDefault="009860C1" w:rsidP="00C83E33">
      <w:pPr>
        <w:spacing w:after="0" w:line="240" w:lineRule="auto"/>
      </w:pPr>
      <w:r>
        <w:separator/>
      </w:r>
    </w:p>
  </w:footnote>
  <w:footnote w:type="continuationSeparator" w:id="0">
    <w:p w14:paraId="5A6AB7FF" w14:textId="77777777" w:rsidR="009860C1" w:rsidRDefault="009860C1" w:rsidP="00C83E3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4693"/>
    <w:rsid w:val="00045957"/>
    <w:rsid w:val="00124089"/>
    <w:rsid w:val="003A2A22"/>
    <w:rsid w:val="003C1C90"/>
    <w:rsid w:val="004E406F"/>
    <w:rsid w:val="00745327"/>
    <w:rsid w:val="007B497F"/>
    <w:rsid w:val="007F2BD0"/>
    <w:rsid w:val="008F36AE"/>
    <w:rsid w:val="0091563C"/>
    <w:rsid w:val="009860C1"/>
    <w:rsid w:val="00A43D0E"/>
    <w:rsid w:val="00B14891"/>
    <w:rsid w:val="00B91CC8"/>
    <w:rsid w:val="00BB4693"/>
    <w:rsid w:val="00C83E33"/>
    <w:rsid w:val="00D357B5"/>
    <w:rsid w:val="00DA6F37"/>
    <w:rsid w:val="00DF627D"/>
    <w:rsid w:val="00F307FD"/>
    <w:rsid w:val="00FB4ED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BDAD57"/>
  <w15:chartTrackingRefBased/>
  <w15:docId w15:val="{49A78FE5-74F8-44D3-B944-D57A27CC4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91563C"/>
    <w:pPr>
      <w:keepNext/>
      <w:keepLines/>
      <w:spacing w:before="120" w:after="0"/>
      <w:outlineLvl w:val="0"/>
    </w:pPr>
    <w:rPr>
      <w:rFonts w:ascii="Times New Roman" w:eastAsiaTheme="majorEastAsia" w:hAnsi="Times New Roman" w:cstheme="majorBidi"/>
      <w:color w:val="0F4761" w:themeColor="accent1" w:themeShade="BF"/>
      <w:sz w:val="32"/>
      <w:szCs w:val="40"/>
    </w:rPr>
  </w:style>
  <w:style w:type="paragraph" w:styleId="Heading2">
    <w:name w:val="heading 2"/>
    <w:basedOn w:val="Normal"/>
    <w:next w:val="Normal"/>
    <w:link w:val="Heading2Char"/>
    <w:uiPriority w:val="9"/>
    <w:unhideWhenUsed/>
    <w:qFormat/>
    <w:rsid w:val="00BB46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469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469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469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469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469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469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469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563C"/>
    <w:rPr>
      <w:rFonts w:ascii="Times New Roman" w:eastAsiaTheme="majorEastAsia" w:hAnsi="Times New Roman" w:cstheme="majorBidi"/>
      <w:color w:val="0F4761" w:themeColor="accent1" w:themeShade="BF"/>
      <w:sz w:val="32"/>
      <w:szCs w:val="40"/>
    </w:rPr>
  </w:style>
  <w:style w:type="character" w:customStyle="1" w:styleId="Heading2Char">
    <w:name w:val="Heading 2 Char"/>
    <w:basedOn w:val="DefaultParagraphFont"/>
    <w:link w:val="Heading2"/>
    <w:uiPriority w:val="9"/>
    <w:rsid w:val="00BB469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469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469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469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46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46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46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4693"/>
    <w:rPr>
      <w:rFonts w:eastAsiaTheme="majorEastAsia" w:cstheme="majorBidi"/>
      <w:color w:val="272727" w:themeColor="text1" w:themeTint="D8"/>
    </w:rPr>
  </w:style>
  <w:style w:type="paragraph" w:styleId="Title">
    <w:name w:val="Title"/>
    <w:basedOn w:val="Normal"/>
    <w:next w:val="Normal"/>
    <w:link w:val="TitleChar"/>
    <w:uiPriority w:val="10"/>
    <w:qFormat/>
    <w:rsid w:val="00BB46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46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469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46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4693"/>
    <w:pPr>
      <w:spacing w:before="160"/>
      <w:jc w:val="center"/>
    </w:pPr>
    <w:rPr>
      <w:i/>
      <w:iCs/>
      <w:color w:val="404040" w:themeColor="text1" w:themeTint="BF"/>
    </w:rPr>
  </w:style>
  <w:style w:type="character" w:customStyle="1" w:styleId="QuoteChar">
    <w:name w:val="Quote Char"/>
    <w:basedOn w:val="DefaultParagraphFont"/>
    <w:link w:val="Quote"/>
    <w:uiPriority w:val="29"/>
    <w:rsid w:val="00BB4693"/>
    <w:rPr>
      <w:i/>
      <w:iCs/>
      <w:color w:val="404040" w:themeColor="text1" w:themeTint="BF"/>
    </w:rPr>
  </w:style>
  <w:style w:type="paragraph" w:styleId="ListParagraph">
    <w:name w:val="List Paragraph"/>
    <w:basedOn w:val="Normal"/>
    <w:uiPriority w:val="34"/>
    <w:qFormat/>
    <w:rsid w:val="00BB4693"/>
    <w:pPr>
      <w:ind w:left="720"/>
      <w:contextualSpacing/>
    </w:pPr>
  </w:style>
  <w:style w:type="character" w:styleId="IntenseEmphasis">
    <w:name w:val="Intense Emphasis"/>
    <w:basedOn w:val="DefaultParagraphFont"/>
    <w:uiPriority w:val="21"/>
    <w:qFormat/>
    <w:rsid w:val="00BB4693"/>
    <w:rPr>
      <w:i/>
      <w:iCs/>
      <w:color w:val="0F4761" w:themeColor="accent1" w:themeShade="BF"/>
    </w:rPr>
  </w:style>
  <w:style w:type="paragraph" w:styleId="IntenseQuote">
    <w:name w:val="Intense Quote"/>
    <w:basedOn w:val="Normal"/>
    <w:next w:val="Normal"/>
    <w:link w:val="IntenseQuoteChar"/>
    <w:uiPriority w:val="30"/>
    <w:qFormat/>
    <w:rsid w:val="00BB46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4693"/>
    <w:rPr>
      <w:i/>
      <w:iCs/>
      <w:color w:val="0F4761" w:themeColor="accent1" w:themeShade="BF"/>
    </w:rPr>
  </w:style>
  <w:style w:type="character" w:styleId="IntenseReference">
    <w:name w:val="Intense Reference"/>
    <w:basedOn w:val="DefaultParagraphFont"/>
    <w:uiPriority w:val="32"/>
    <w:qFormat/>
    <w:rsid w:val="00BB4693"/>
    <w:rPr>
      <w:b/>
      <w:bCs/>
      <w:smallCaps/>
      <w:color w:val="0F4761" w:themeColor="accent1" w:themeShade="BF"/>
      <w:spacing w:val="5"/>
    </w:rPr>
  </w:style>
  <w:style w:type="character" w:styleId="Hyperlink">
    <w:name w:val="Hyperlink"/>
    <w:basedOn w:val="DefaultParagraphFont"/>
    <w:uiPriority w:val="99"/>
    <w:unhideWhenUsed/>
    <w:rsid w:val="00BB4693"/>
    <w:rPr>
      <w:color w:val="467886" w:themeColor="hyperlink"/>
      <w:u w:val="single"/>
    </w:rPr>
  </w:style>
  <w:style w:type="character" w:styleId="UnresolvedMention">
    <w:name w:val="Unresolved Mention"/>
    <w:basedOn w:val="DefaultParagraphFont"/>
    <w:uiPriority w:val="99"/>
    <w:semiHidden/>
    <w:unhideWhenUsed/>
    <w:rsid w:val="00BB4693"/>
    <w:rPr>
      <w:color w:val="605E5C"/>
      <w:shd w:val="clear" w:color="auto" w:fill="E1DFDD"/>
    </w:rPr>
  </w:style>
  <w:style w:type="table" w:styleId="TableGrid">
    <w:name w:val="Table Grid"/>
    <w:basedOn w:val="TableNormal"/>
    <w:uiPriority w:val="39"/>
    <w:rsid w:val="00D357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83E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3E33"/>
  </w:style>
  <w:style w:type="paragraph" w:styleId="Footer">
    <w:name w:val="footer"/>
    <w:basedOn w:val="Normal"/>
    <w:link w:val="FooterChar"/>
    <w:uiPriority w:val="99"/>
    <w:unhideWhenUsed/>
    <w:rsid w:val="00C83E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3E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dtechbooks.org/applied_ethics_idt/integrating_ethics_into_id_courses" TargetMode="External"/><Relationship Id="rId13" Type="http://schemas.openxmlformats.org/officeDocument/2006/relationships/hyperlink" Target="https://otessa.org/ethicsindesign/2024/06/12/artifacts-from-the-futures-of-higher-education/" TargetMode="External"/><Relationship Id="rId18" Type="http://schemas.openxmlformats.org/officeDocument/2006/relationships/hyperlink" Target="https://otessa.org/ethicsindesign/2024/06/09/ethics-of-consuming-devices/"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www.routledge.com/Ethics-and-Educational-Technology-Reflection-Interrogation-and-Design-as-a-Framework-for-Practice/Moore-Tillberg-Webb/p/book/9780415895088?srsltid=AfmBOop2QrUXFDt-o55XhgyLcdTYd0PnXcb_8I9_-42dL_4geo5qkOLR" TargetMode="External"/><Relationship Id="rId12" Type="http://schemas.openxmlformats.org/officeDocument/2006/relationships/hyperlink" Target="https://doi.org/10.1007/s11528-023-00895-1" TargetMode="External"/><Relationship Id="rId17" Type="http://schemas.openxmlformats.org/officeDocument/2006/relationships/hyperlink" Target="https://otessa.org/ethicsindesign/2024/06/09/cultural-dimensions-of-ethics-in-design/" TargetMode="External"/><Relationship Id="rId2" Type="http://schemas.openxmlformats.org/officeDocument/2006/relationships/settings" Target="settings.xml"/><Relationship Id="rId16" Type="http://schemas.openxmlformats.org/officeDocument/2006/relationships/hyperlink" Target="https://doi.org/10.14434/ijdl.v15i3.37742" TargetMode="External"/><Relationship Id="rId20" Type="http://schemas.openxmlformats.org/officeDocument/2006/relationships/footer" Target="footer1.xml"/><Relationship Id="rId1" Type="http://schemas.openxmlformats.org/officeDocument/2006/relationships/styles" Target="styles.xml"/><Relationship Id="rId6" Type="http://schemas.openxmlformats.org/officeDocument/2006/relationships/hyperlink" Target="https://link.springer.com/article/10.1007/s11423-016-9478-x" TargetMode="External"/><Relationship Id="rId11" Type="http://schemas.openxmlformats.org/officeDocument/2006/relationships/hyperlink" Target="https://edtechbooks.org/id/problem_framing" TargetMode="External"/><Relationship Id="rId5" Type="http://schemas.openxmlformats.org/officeDocument/2006/relationships/endnotes" Target="endnotes.xml"/><Relationship Id="rId15" Type="http://schemas.openxmlformats.org/officeDocument/2006/relationships/hyperlink" Target="https://otessa.org/ethicsindesign/2024/06/09/leveraging-speculative-design/" TargetMode="External"/><Relationship Id="rId10" Type="http://schemas.openxmlformats.org/officeDocument/2006/relationships/image" Target="media/image1.png"/><Relationship Id="rId19" Type="http://schemas.openxmlformats.org/officeDocument/2006/relationships/hyperlink" Target="https://link.springer.com/article/10.1007/s11528-025-01074-0" TargetMode="External"/><Relationship Id="rId4" Type="http://schemas.openxmlformats.org/officeDocument/2006/relationships/footnotes" Target="footnotes.xml"/><Relationship Id="rId9" Type="http://schemas.openxmlformats.org/officeDocument/2006/relationships/hyperlink" Target="https://www.taylorfrancis.com/chapters/edit/10.4324/9781003502302-46/professional-ethics-stephanie-moore-heather-tillberg-webb?context=ubx&amp;refId=5b0e18bc-ec8e-4cd2-a3f5-1863b6168598" TargetMode="External"/><Relationship Id="rId14" Type="http://schemas.openxmlformats.org/officeDocument/2006/relationships/hyperlink" Target="https://mitpress.mit.edu/9780262019842/speculative-everything/"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58</TotalTime>
  <Pages>2</Pages>
  <Words>837</Words>
  <Characters>5140</Characters>
  <Application>Microsoft Office Word</Application>
  <DocSecurity>0</DocSecurity>
  <Lines>107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Moore</dc:creator>
  <cp:keywords/>
  <dc:description/>
  <cp:lastModifiedBy>Larson, Miriam</cp:lastModifiedBy>
  <cp:revision>9</cp:revision>
  <dcterms:created xsi:type="dcterms:W3CDTF">2025-08-17T15:04:00Z</dcterms:created>
  <dcterms:modified xsi:type="dcterms:W3CDTF">2026-05-27T02:49:00Z</dcterms:modified>
</cp:coreProperties>
</file>