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2F724" w14:textId="7C88FF91" w:rsidR="00A76194" w:rsidRPr="003C2BDE" w:rsidRDefault="00A76194" w:rsidP="00A76194">
      <w:pPr>
        <w:rPr>
          <w:b/>
          <w:bCs/>
          <w:sz w:val="28"/>
          <w:szCs w:val="28"/>
        </w:rPr>
      </w:pPr>
      <w:r w:rsidRPr="003C2BDE">
        <w:rPr>
          <w:b/>
          <w:bCs/>
          <w:sz w:val="28"/>
          <w:szCs w:val="28"/>
        </w:rPr>
        <w:t>The Future of Real Estate Tokenization Written for Cynics</w:t>
      </w:r>
      <w:r w:rsidR="00942D2A">
        <w:rPr>
          <w:b/>
          <w:bCs/>
          <w:sz w:val="28"/>
          <w:szCs w:val="28"/>
        </w:rPr>
        <w:t xml:space="preserve"> and Thought Leaders</w:t>
      </w:r>
    </w:p>
    <w:p w14:paraId="321E5ACC" w14:textId="77777777" w:rsidR="00560B3C" w:rsidRPr="002C1987" w:rsidRDefault="00560B3C" w:rsidP="00A76194">
      <w:pPr>
        <w:rPr>
          <w:b/>
          <w:bCs/>
          <w:sz w:val="24"/>
          <w:szCs w:val="24"/>
        </w:rPr>
      </w:pPr>
      <w:r w:rsidRPr="002C1987">
        <w:rPr>
          <w:b/>
          <w:bCs/>
          <w:sz w:val="24"/>
          <w:szCs w:val="24"/>
        </w:rPr>
        <w:t>Preface</w:t>
      </w:r>
    </w:p>
    <w:p w14:paraId="433A0B81" w14:textId="1A76DE4A" w:rsidR="006A4200" w:rsidRDefault="003877C8" w:rsidP="00A76194">
      <w:pPr>
        <w:rPr>
          <w:sz w:val="24"/>
          <w:szCs w:val="24"/>
        </w:rPr>
      </w:pPr>
      <w:r>
        <w:rPr>
          <w:sz w:val="24"/>
          <w:szCs w:val="24"/>
        </w:rPr>
        <w:t>This discussion could be called “Real Estate Tokenization 2.0</w:t>
      </w:r>
      <w:r w:rsidR="00943033">
        <w:rPr>
          <w:sz w:val="24"/>
          <w:szCs w:val="24"/>
        </w:rPr>
        <w:t xml:space="preserve"> or 3.0</w:t>
      </w:r>
      <w:r>
        <w:rPr>
          <w:sz w:val="24"/>
          <w:szCs w:val="24"/>
        </w:rPr>
        <w:t xml:space="preserve">” parallel to the evolution we witnessed in the CMBS market some years ago.  We remain in the </w:t>
      </w:r>
      <w:proofErr w:type="spellStart"/>
      <w:r>
        <w:rPr>
          <w:sz w:val="24"/>
          <w:szCs w:val="24"/>
        </w:rPr>
        <w:t>PropTech</w:t>
      </w:r>
      <w:proofErr w:type="spellEnd"/>
      <w:r>
        <w:rPr>
          <w:sz w:val="24"/>
          <w:szCs w:val="24"/>
        </w:rPr>
        <w:t xml:space="preserve"> era of numerous startups, </w:t>
      </w:r>
      <w:r w:rsidR="003E4B91">
        <w:rPr>
          <w:sz w:val="24"/>
          <w:szCs w:val="24"/>
        </w:rPr>
        <w:t xml:space="preserve">some offering real estate tokens or platforms for tokens, </w:t>
      </w:r>
      <w:r>
        <w:rPr>
          <w:sz w:val="24"/>
          <w:szCs w:val="24"/>
        </w:rPr>
        <w:t xml:space="preserve">each believing they will change the world and often naïve about other players including established firms already engaged behind the scenes </w:t>
      </w:r>
      <w:r w:rsidR="003C2BDE">
        <w:rPr>
          <w:sz w:val="24"/>
          <w:szCs w:val="24"/>
        </w:rPr>
        <w:t>with</w:t>
      </w:r>
      <w:r>
        <w:rPr>
          <w:sz w:val="24"/>
          <w:szCs w:val="24"/>
        </w:rPr>
        <w:t xml:space="preserve"> their own R&amp;D.  Blockchain and AI (artificial intelligence)</w:t>
      </w:r>
      <w:r w:rsidR="003E4B91">
        <w:rPr>
          <w:sz w:val="24"/>
          <w:szCs w:val="24"/>
        </w:rPr>
        <w:t>,</w:t>
      </w:r>
      <w:r>
        <w:rPr>
          <w:sz w:val="24"/>
          <w:szCs w:val="24"/>
        </w:rPr>
        <w:t xml:space="preserve"> which is really ML (machine learning since AI does not yet exist)</w:t>
      </w:r>
      <w:r w:rsidR="003E4B91">
        <w:rPr>
          <w:sz w:val="24"/>
          <w:szCs w:val="24"/>
        </w:rPr>
        <w:t>,</w:t>
      </w:r>
      <w:r>
        <w:rPr>
          <w:sz w:val="24"/>
          <w:szCs w:val="24"/>
        </w:rPr>
        <w:t xml:space="preserve"> is being touted as a source of proprietary advantage over other firms, ubiquitously I might add, along with </w:t>
      </w:r>
      <w:r w:rsidR="00D023A9">
        <w:rPr>
          <w:sz w:val="24"/>
          <w:szCs w:val="24"/>
        </w:rPr>
        <w:t>b</w:t>
      </w:r>
      <w:r>
        <w:rPr>
          <w:sz w:val="24"/>
          <w:szCs w:val="24"/>
        </w:rPr>
        <w:t>lock</w:t>
      </w:r>
      <w:r w:rsidR="003C2BDE">
        <w:rPr>
          <w:sz w:val="24"/>
          <w:szCs w:val="24"/>
        </w:rPr>
        <w:t>c</w:t>
      </w:r>
      <w:r>
        <w:rPr>
          <w:sz w:val="24"/>
          <w:szCs w:val="24"/>
        </w:rPr>
        <w:t>hain.  In previous blog</w:t>
      </w:r>
      <w:r w:rsidR="003E4B91">
        <w:rPr>
          <w:sz w:val="24"/>
          <w:szCs w:val="24"/>
        </w:rPr>
        <w:t>s</w:t>
      </w:r>
      <w:r w:rsidR="00560B3C">
        <w:rPr>
          <w:sz w:val="24"/>
          <w:szCs w:val="24"/>
        </w:rPr>
        <w:t>,</w:t>
      </w:r>
      <w:r>
        <w:rPr>
          <w:sz w:val="24"/>
          <w:szCs w:val="24"/>
        </w:rPr>
        <w:t xml:space="preserve"> we tried to explain how blockchain works using decentralized distributed ledgers</w:t>
      </w:r>
      <w:r w:rsidR="00560B3C">
        <w:rPr>
          <w:sz w:val="24"/>
          <w:szCs w:val="24"/>
        </w:rPr>
        <w:t xml:space="preserve">, allowing for identification, </w:t>
      </w:r>
      <w:r w:rsidR="003E4B91">
        <w:rPr>
          <w:sz w:val="24"/>
          <w:szCs w:val="24"/>
        </w:rPr>
        <w:t xml:space="preserve">event </w:t>
      </w:r>
      <w:r w:rsidR="00560B3C">
        <w:rPr>
          <w:sz w:val="24"/>
          <w:szCs w:val="24"/>
        </w:rPr>
        <w:t>dating and tracking of all transactions</w:t>
      </w:r>
      <w:r w:rsidR="003E4B91">
        <w:rPr>
          <w:sz w:val="24"/>
          <w:szCs w:val="24"/>
        </w:rPr>
        <w:t>,</w:t>
      </w:r>
      <w:r w:rsidR="00560B3C">
        <w:rPr>
          <w:sz w:val="24"/>
          <w:szCs w:val="24"/>
        </w:rPr>
        <w:t xml:space="preserve"> independent of any centralized authority such as county governments.  </w:t>
      </w:r>
      <w:r w:rsidR="003E4B91">
        <w:rPr>
          <w:sz w:val="24"/>
          <w:szCs w:val="24"/>
        </w:rPr>
        <w:t xml:space="preserve">Blockchain’s freedom from costly recording fees and delayed bureaucracy is the foundation by which tokenization and more efficient transactions can occur.  The transition is like moving from old fashioned taxi cabs to an </w:t>
      </w:r>
      <w:r w:rsidR="006A4200">
        <w:rPr>
          <w:sz w:val="24"/>
          <w:szCs w:val="24"/>
        </w:rPr>
        <w:t>U</w:t>
      </w:r>
      <w:r w:rsidR="003E4B91">
        <w:rPr>
          <w:sz w:val="24"/>
          <w:szCs w:val="24"/>
        </w:rPr>
        <w:t>ber</w:t>
      </w:r>
      <w:r w:rsidR="006A4200">
        <w:rPr>
          <w:sz w:val="24"/>
          <w:szCs w:val="24"/>
        </w:rPr>
        <w:t>-</w:t>
      </w:r>
      <w:r w:rsidR="003E4B91">
        <w:rPr>
          <w:sz w:val="24"/>
          <w:szCs w:val="24"/>
        </w:rPr>
        <w:t>like system, or booking your own flights</w:t>
      </w:r>
      <w:r w:rsidR="006A4200">
        <w:rPr>
          <w:sz w:val="24"/>
          <w:szCs w:val="24"/>
        </w:rPr>
        <w:t xml:space="preserve"> versus travel agents</w:t>
      </w:r>
      <w:r w:rsidR="003C2BDE">
        <w:rPr>
          <w:sz w:val="24"/>
          <w:szCs w:val="24"/>
        </w:rPr>
        <w:t xml:space="preserve">, or downloading a movie instead of driving to Blockbusters for a cassette tape.  </w:t>
      </w:r>
    </w:p>
    <w:p w14:paraId="6AD6F53F" w14:textId="6EA1B056" w:rsidR="00A76194" w:rsidRPr="00A76194" w:rsidRDefault="003E4B91" w:rsidP="00A76194">
      <w:pPr>
        <w:rPr>
          <w:sz w:val="24"/>
          <w:szCs w:val="24"/>
        </w:rPr>
      </w:pPr>
      <w:r>
        <w:rPr>
          <w:sz w:val="24"/>
          <w:szCs w:val="24"/>
        </w:rPr>
        <w:t xml:space="preserve">Efficiencies will occur and yet the title industry will not whether and disappear, nor the need for real estate consultants, brokers, appraisers, </w:t>
      </w:r>
      <w:r w:rsidR="00943033">
        <w:rPr>
          <w:sz w:val="24"/>
          <w:szCs w:val="24"/>
        </w:rPr>
        <w:t>lenders,</w:t>
      </w:r>
      <w:r>
        <w:rPr>
          <w:sz w:val="24"/>
          <w:szCs w:val="24"/>
        </w:rPr>
        <w:t xml:space="preserve"> or managers, albeit in some cases doing more with less.  Based </w:t>
      </w:r>
      <w:r w:rsidR="003C38F9">
        <w:rPr>
          <w:sz w:val="24"/>
          <w:szCs w:val="24"/>
        </w:rPr>
        <w:t xml:space="preserve">partially </w:t>
      </w:r>
      <w:r>
        <w:rPr>
          <w:sz w:val="24"/>
          <w:szCs w:val="24"/>
        </w:rPr>
        <w:t>on discussion</w:t>
      </w:r>
      <w:r w:rsidR="003C38F9">
        <w:rPr>
          <w:sz w:val="24"/>
          <w:szCs w:val="24"/>
        </w:rPr>
        <w:t>s</w:t>
      </w:r>
      <w:r>
        <w:rPr>
          <w:sz w:val="24"/>
          <w:szCs w:val="24"/>
        </w:rPr>
        <w:t xml:space="preserve"> at the Hoyt Institute thinktank in North Palm Beach, FL </w:t>
      </w:r>
      <w:r w:rsidR="003C38F9">
        <w:rPr>
          <w:sz w:val="24"/>
          <w:szCs w:val="24"/>
        </w:rPr>
        <w:t xml:space="preserve">in May of 2023, with colleagues that included Andrew Baum, Guy </w:t>
      </w:r>
      <w:proofErr w:type="spellStart"/>
      <w:r w:rsidR="003C38F9">
        <w:rPr>
          <w:sz w:val="24"/>
          <w:szCs w:val="24"/>
        </w:rPr>
        <w:t>Tcheau</w:t>
      </w:r>
      <w:proofErr w:type="spellEnd"/>
      <w:r w:rsidR="003C38F9">
        <w:rPr>
          <w:sz w:val="24"/>
          <w:szCs w:val="24"/>
        </w:rPr>
        <w:t>, Justin Earl</w:t>
      </w:r>
      <w:r w:rsidR="003C2BDE">
        <w:rPr>
          <w:sz w:val="24"/>
          <w:szCs w:val="24"/>
        </w:rPr>
        <w:t>e</w:t>
      </w:r>
      <w:r w:rsidR="003C38F9">
        <w:rPr>
          <w:sz w:val="24"/>
          <w:szCs w:val="24"/>
        </w:rPr>
        <w:t xml:space="preserve">y, Herwig </w:t>
      </w:r>
      <w:proofErr w:type="spellStart"/>
      <w:r w:rsidR="003C38F9">
        <w:rPr>
          <w:sz w:val="24"/>
          <w:szCs w:val="24"/>
        </w:rPr>
        <w:t>Konings</w:t>
      </w:r>
      <w:proofErr w:type="spellEnd"/>
      <w:r w:rsidR="003C38F9">
        <w:rPr>
          <w:sz w:val="24"/>
          <w:szCs w:val="24"/>
        </w:rPr>
        <w:t xml:space="preserve">, Brad Case, Jeff Fisher, Glenn </w:t>
      </w:r>
      <w:r w:rsidR="006A4200">
        <w:rPr>
          <w:sz w:val="24"/>
          <w:szCs w:val="24"/>
        </w:rPr>
        <w:t>Mueller,</w:t>
      </w:r>
      <w:r w:rsidR="003C38F9">
        <w:rPr>
          <w:sz w:val="24"/>
          <w:szCs w:val="24"/>
        </w:rPr>
        <w:t xml:space="preserve"> and others, this is </w:t>
      </w:r>
      <w:r w:rsidR="006A4200">
        <w:rPr>
          <w:sz w:val="24"/>
          <w:szCs w:val="24"/>
        </w:rPr>
        <w:t xml:space="preserve">one </w:t>
      </w:r>
      <w:r w:rsidR="003C38F9">
        <w:rPr>
          <w:sz w:val="24"/>
          <w:szCs w:val="24"/>
        </w:rPr>
        <w:t>vision of where we might go with respect to real estate tokenization.</w:t>
      </w:r>
    </w:p>
    <w:p w14:paraId="37F7BAE7" w14:textId="74D3AB89" w:rsidR="00A76194" w:rsidRPr="002C1987" w:rsidRDefault="00A76194" w:rsidP="00A76194">
      <w:pPr>
        <w:rPr>
          <w:b/>
          <w:bCs/>
          <w:sz w:val="24"/>
          <w:szCs w:val="24"/>
        </w:rPr>
      </w:pPr>
      <w:r w:rsidRPr="002C1987">
        <w:rPr>
          <w:b/>
          <w:bCs/>
          <w:sz w:val="24"/>
          <w:szCs w:val="24"/>
        </w:rPr>
        <w:t>History</w:t>
      </w:r>
      <w:r w:rsidR="006A4200" w:rsidRPr="002C1987">
        <w:rPr>
          <w:b/>
          <w:bCs/>
          <w:sz w:val="24"/>
          <w:szCs w:val="24"/>
        </w:rPr>
        <w:t xml:space="preserve"> of Real Estate Tokenization in Brief</w:t>
      </w:r>
    </w:p>
    <w:p w14:paraId="19A0FA64" w14:textId="687AA7BE" w:rsidR="002C1987" w:rsidRDefault="0001075C" w:rsidP="00A76194">
      <w:pPr>
        <w:rPr>
          <w:sz w:val="24"/>
          <w:szCs w:val="24"/>
        </w:rPr>
      </w:pPr>
      <w:r>
        <w:rPr>
          <w:sz w:val="24"/>
          <w:szCs w:val="24"/>
        </w:rPr>
        <w:t xml:space="preserve">Nearly </w:t>
      </w:r>
      <w:r w:rsidR="00A62C78">
        <w:rPr>
          <w:sz w:val="24"/>
          <w:szCs w:val="24"/>
        </w:rPr>
        <w:t>seven</w:t>
      </w:r>
      <w:r>
        <w:rPr>
          <w:sz w:val="24"/>
          <w:szCs w:val="24"/>
        </w:rPr>
        <w:t xml:space="preserve"> years ago (2018) the world’s first real estate tokenization offering was born when the St. Regis Aspen resort in Colorado, sold almost a 20 percent interest to investors via $18 million US dollars of tokens.    The resort was reported to be worth $224 million according to businesswire.com.   Today if one visits </w:t>
      </w:r>
      <w:hyperlink r:id="rId4" w:history="1">
        <w:r w:rsidRPr="00110EEC">
          <w:rPr>
            <w:rStyle w:val="Hyperlink"/>
            <w:sz w:val="24"/>
            <w:szCs w:val="24"/>
          </w:rPr>
          <w:t>https://stomarket.com</w:t>
        </w:r>
      </w:hyperlink>
      <w:r>
        <w:rPr>
          <w:sz w:val="24"/>
          <w:szCs w:val="24"/>
        </w:rPr>
        <w:t xml:space="preserve"> you can find the tokens listed as “</w:t>
      </w:r>
      <w:proofErr w:type="spellStart"/>
      <w:r>
        <w:rPr>
          <w:sz w:val="24"/>
          <w:szCs w:val="24"/>
        </w:rPr>
        <w:t>AspenCoin</w:t>
      </w:r>
      <w:proofErr w:type="spellEnd"/>
      <w:r>
        <w:rPr>
          <w:sz w:val="24"/>
          <w:szCs w:val="24"/>
        </w:rPr>
        <w:t xml:space="preserve">” with a market cap of about $49.5 million US with </w:t>
      </w:r>
      <w:proofErr w:type="spellStart"/>
      <w:r w:rsidR="00882022">
        <w:rPr>
          <w:sz w:val="24"/>
          <w:szCs w:val="24"/>
        </w:rPr>
        <w:t>tZero</w:t>
      </w:r>
      <w:proofErr w:type="spellEnd"/>
      <w:r w:rsidR="00882022">
        <w:rPr>
          <w:sz w:val="24"/>
          <w:szCs w:val="24"/>
        </w:rPr>
        <w:t xml:space="preserve"> as one of the platforms. Each token is worth about $2.75 as of May 23</w:t>
      </w:r>
      <w:r w:rsidR="00882022" w:rsidRPr="00882022">
        <w:rPr>
          <w:sz w:val="24"/>
          <w:szCs w:val="24"/>
          <w:vertAlign w:val="superscript"/>
        </w:rPr>
        <w:t>rd</w:t>
      </w:r>
      <w:r w:rsidR="00882022">
        <w:rPr>
          <w:sz w:val="24"/>
          <w:szCs w:val="24"/>
        </w:rPr>
        <w:t>, 2023 with the last trade on May 23</w:t>
      </w:r>
      <w:r w:rsidR="00882022" w:rsidRPr="00882022">
        <w:rPr>
          <w:sz w:val="24"/>
          <w:szCs w:val="24"/>
          <w:vertAlign w:val="superscript"/>
        </w:rPr>
        <w:t>rd</w:t>
      </w:r>
      <w:r w:rsidR="00882022">
        <w:rPr>
          <w:sz w:val="24"/>
          <w:szCs w:val="24"/>
        </w:rPr>
        <w:t>, 2023 and a 24-hour trade volume of 11,000 shares or $30,250 dollars.  This compares to the smallest of micro-cap stocks on any exchange</w:t>
      </w:r>
      <w:r w:rsidR="00D023A9">
        <w:rPr>
          <w:sz w:val="24"/>
          <w:szCs w:val="24"/>
        </w:rPr>
        <w:t>,</w:t>
      </w:r>
      <w:r w:rsidR="00882022">
        <w:rPr>
          <w:sz w:val="24"/>
          <w:szCs w:val="24"/>
        </w:rPr>
        <w:t xml:space="preserve"> but remember this is a babe in the woods compared to traditional stocks.  Solid Block, </w:t>
      </w:r>
      <w:hyperlink r:id="rId5" w:history="1">
        <w:r w:rsidR="00882022" w:rsidRPr="00110EEC">
          <w:rPr>
            <w:rStyle w:val="Hyperlink"/>
            <w:sz w:val="24"/>
            <w:szCs w:val="24"/>
          </w:rPr>
          <w:t>https://solidblock.co</w:t>
        </w:r>
      </w:hyperlink>
      <w:r w:rsidR="00882022">
        <w:rPr>
          <w:sz w:val="24"/>
          <w:szCs w:val="24"/>
        </w:rPr>
        <w:t xml:space="preserve"> assisted in the technical aspects of this launch in 2018 and today several other firms are providing white board platforms.  Today, Forbes estimates the market size of real estate tokens as $200 million US</w:t>
      </w:r>
      <w:r w:rsidR="002C1987">
        <w:rPr>
          <w:sz w:val="24"/>
          <w:szCs w:val="24"/>
        </w:rPr>
        <w:t xml:space="preserve">. Those who invested in </w:t>
      </w:r>
      <w:proofErr w:type="spellStart"/>
      <w:r w:rsidR="002C1987">
        <w:rPr>
          <w:sz w:val="24"/>
          <w:szCs w:val="24"/>
        </w:rPr>
        <w:t>AspenCoin</w:t>
      </w:r>
      <w:proofErr w:type="spellEnd"/>
      <w:r w:rsidR="002C1987">
        <w:rPr>
          <w:sz w:val="24"/>
          <w:szCs w:val="24"/>
        </w:rPr>
        <w:t xml:space="preserve"> seem to have done well with $18 million almost tripling in three years.  </w:t>
      </w:r>
    </w:p>
    <w:p w14:paraId="1D0AE625" w14:textId="6CDD294B" w:rsidR="002C1987" w:rsidRDefault="002C1987" w:rsidP="00A76194">
      <w:pPr>
        <w:rPr>
          <w:sz w:val="24"/>
          <w:szCs w:val="24"/>
        </w:rPr>
      </w:pPr>
      <w:r>
        <w:rPr>
          <w:sz w:val="24"/>
          <w:szCs w:val="24"/>
        </w:rPr>
        <w:t xml:space="preserve">Many of the other real estate tokenization sponsors have focused on single asset plays, where they tokenize the entire asset, often single-family rentals. See </w:t>
      </w:r>
      <w:hyperlink r:id="rId6" w:history="1">
        <w:r w:rsidRPr="002C1987">
          <w:rPr>
            <w:rStyle w:val="Hyperlink"/>
            <w:sz w:val="24"/>
            <w:szCs w:val="24"/>
          </w:rPr>
          <w:t>Arrived</w:t>
        </w:r>
      </w:hyperlink>
      <w:r>
        <w:rPr>
          <w:sz w:val="24"/>
          <w:szCs w:val="24"/>
        </w:rPr>
        <w:t xml:space="preserve"> homes, </w:t>
      </w:r>
      <w:hyperlink r:id="rId7" w:history="1">
        <w:proofErr w:type="spellStart"/>
        <w:r w:rsidRPr="002C1987">
          <w:rPr>
            <w:rStyle w:val="Hyperlink"/>
            <w:sz w:val="24"/>
            <w:szCs w:val="24"/>
          </w:rPr>
          <w:t>Roofstock</w:t>
        </w:r>
        <w:proofErr w:type="spellEnd"/>
      </w:hyperlink>
      <w:r>
        <w:rPr>
          <w:sz w:val="24"/>
          <w:szCs w:val="24"/>
        </w:rPr>
        <w:t xml:space="preserve">, </w:t>
      </w:r>
      <w:hyperlink r:id="rId8" w:history="1">
        <w:proofErr w:type="spellStart"/>
        <w:r w:rsidRPr="002C1987">
          <w:rPr>
            <w:rStyle w:val="Hyperlink"/>
            <w:sz w:val="24"/>
            <w:szCs w:val="24"/>
          </w:rPr>
          <w:t>RealT</w:t>
        </w:r>
        <w:proofErr w:type="spellEnd"/>
      </w:hyperlink>
      <w:r>
        <w:rPr>
          <w:sz w:val="24"/>
          <w:szCs w:val="24"/>
        </w:rPr>
        <w:t xml:space="preserve"> </w:t>
      </w:r>
      <w:r>
        <w:rPr>
          <w:sz w:val="24"/>
          <w:szCs w:val="24"/>
        </w:rPr>
        <w:lastRenderedPageBreak/>
        <w:t>as examples.</w:t>
      </w:r>
      <w:r w:rsidR="003C2BDE">
        <w:rPr>
          <w:sz w:val="24"/>
          <w:szCs w:val="24"/>
        </w:rPr>
        <w:t xml:space="preserve">  </w:t>
      </w:r>
      <w:r>
        <w:rPr>
          <w:sz w:val="24"/>
          <w:szCs w:val="24"/>
        </w:rPr>
        <w:t xml:space="preserve"> </w:t>
      </w:r>
      <w:proofErr w:type="spellStart"/>
      <w:r w:rsidR="00D36913">
        <w:rPr>
          <w:sz w:val="24"/>
          <w:szCs w:val="24"/>
        </w:rPr>
        <w:t>Roofstock</w:t>
      </w:r>
      <w:proofErr w:type="spellEnd"/>
      <w:r w:rsidR="00D36913">
        <w:rPr>
          <w:sz w:val="24"/>
          <w:szCs w:val="24"/>
        </w:rPr>
        <w:t xml:space="preserve"> uses assistance from </w:t>
      </w:r>
      <w:hyperlink r:id="rId9" w:history="1">
        <w:r w:rsidR="00D36913" w:rsidRPr="00D36913">
          <w:rPr>
            <w:rStyle w:val="Hyperlink"/>
            <w:sz w:val="24"/>
            <w:szCs w:val="24"/>
          </w:rPr>
          <w:t>Collateral Analytics</w:t>
        </w:r>
      </w:hyperlink>
      <w:r w:rsidR="00D36913">
        <w:rPr>
          <w:sz w:val="24"/>
          <w:szCs w:val="24"/>
        </w:rPr>
        <w:t xml:space="preserve"> (now Black Knight) to help provide SFR home values, but it is not clear how the others determine good acquisition prices or provide information to investors at this point, aside from rent collections.  </w:t>
      </w:r>
      <w:hyperlink r:id="rId10" w:history="1">
        <w:proofErr w:type="spellStart"/>
        <w:r w:rsidR="00D36913" w:rsidRPr="00D36913">
          <w:rPr>
            <w:rStyle w:val="Hyperlink"/>
            <w:sz w:val="24"/>
            <w:szCs w:val="24"/>
          </w:rPr>
          <w:t>HoneyBricks</w:t>
        </w:r>
        <w:proofErr w:type="spellEnd"/>
      </w:hyperlink>
      <w:r w:rsidR="00D36913">
        <w:rPr>
          <w:sz w:val="24"/>
          <w:szCs w:val="24"/>
        </w:rPr>
        <w:t xml:space="preserve"> is an example of a multifamily token platform that provides a touch more diversification via several properties w</w:t>
      </w:r>
      <w:r w:rsidR="00D023A9">
        <w:rPr>
          <w:sz w:val="24"/>
          <w:szCs w:val="24"/>
        </w:rPr>
        <w:t>orth</w:t>
      </w:r>
      <w:r w:rsidR="00D36913">
        <w:rPr>
          <w:sz w:val="24"/>
          <w:szCs w:val="24"/>
        </w:rPr>
        <w:t xml:space="preserve"> several million </w:t>
      </w:r>
      <w:r w:rsidR="00D023A9">
        <w:rPr>
          <w:sz w:val="24"/>
          <w:szCs w:val="24"/>
        </w:rPr>
        <w:t xml:space="preserve">USD </w:t>
      </w:r>
      <w:r w:rsidR="00D36913">
        <w:rPr>
          <w:sz w:val="24"/>
          <w:szCs w:val="24"/>
        </w:rPr>
        <w:t xml:space="preserve">and up. </w:t>
      </w:r>
      <w:r w:rsidR="003C2BDE">
        <w:rPr>
          <w:sz w:val="24"/>
          <w:szCs w:val="24"/>
        </w:rPr>
        <w:t xml:space="preserve">To be clear, mentioning the examples above is not an endorsement of any of them, and to date, the lack of current valuations at most of the platforms makes it near impossible to report on or calculate total returns. </w:t>
      </w:r>
    </w:p>
    <w:p w14:paraId="0CABE75F" w14:textId="6B5E1966" w:rsidR="00D36913" w:rsidRDefault="00D36913" w:rsidP="00A76194">
      <w:pPr>
        <w:rPr>
          <w:sz w:val="24"/>
          <w:szCs w:val="24"/>
        </w:rPr>
      </w:pPr>
      <w:r>
        <w:rPr>
          <w:sz w:val="24"/>
          <w:szCs w:val="24"/>
        </w:rPr>
        <w:t xml:space="preserve">To date, we might characterize real estate tokenization </w:t>
      </w:r>
      <w:r w:rsidR="00D023A9">
        <w:rPr>
          <w:sz w:val="24"/>
          <w:szCs w:val="24"/>
        </w:rPr>
        <w:t xml:space="preserve">market </w:t>
      </w:r>
      <w:r>
        <w:rPr>
          <w:sz w:val="24"/>
          <w:szCs w:val="24"/>
        </w:rPr>
        <w:t>as focused on single assets, requiring the investor to pick and choose among the offerings to generate their own portfolio.  It is not clear whether investors have the expertise to select a</w:t>
      </w:r>
      <w:r w:rsidR="00D023A9">
        <w:rPr>
          <w:sz w:val="24"/>
          <w:szCs w:val="24"/>
        </w:rPr>
        <w:t>n efficient</w:t>
      </w:r>
      <w:r>
        <w:rPr>
          <w:sz w:val="24"/>
          <w:szCs w:val="24"/>
        </w:rPr>
        <w:t xml:space="preserve"> portfolio on their own, or whether we will see larger pools of properties, say twenty class A apartment buildings in Denver become more commonplace as a token strategy.  Ultimately, we may see a fund of funds approach, where super token pools are assembled and sold as diversified portfolios or ETF like investments.  Blockchain would allow for such funds to be easily </w:t>
      </w:r>
      <w:r w:rsidR="00D023A9">
        <w:rPr>
          <w:sz w:val="24"/>
          <w:szCs w:val="24"/>
        </w:rPr>
        <w:t xml:space="preserve">assembled </w:t>
      </w:r>
      <w:r>
        <w:rPr>
          <w:sz w:val="24"/>
          <w:szCs w:val="24"/>
        </w:rPr>
        <w:t xml:space="preserve">with a minimal of transactions costs.  For </w:t>
      </w:r>
      <w:r w:rsidR="00EF460C">
        <w:rPr>
          <w:sz w:val="24"/>
          <w:szCs w:val="24"/>
        </w:rPr>
        <w:t>now,</w:t>
      </w:r>
      <w:r>
        <w:rPr>
          <w:sz w:val="24"/>
          <w:szCs w:val="24"/>
        </w:rPr>
        <w:t xml:space="preserve"> liquidity remains low and the information investors require on property values, </w:t>
      </w:r>
      <w:r w:rsidR="00496D70">
        <w:rPr>
          <w:sz w:val="24"/>
          <w:szCs w:val="24"/>
        </w:rPr>
        <w:t>rents,</w:t>
      </w:r>
      <w:r>
        <w:rPr>
          <w:sz w:val="24"/>
          <w:szCs w:val="24"/>
        </w:rPr>
        <w:t xml:space="preserve"> and other metrics </w:t>
      </w:r>
      <w:r w:rsidR="00D023A9">
        <w:rPr>
          <w:sz w:val="24"/>
          <w:szCs w:val="24"/>
        </w:rPr>
        <w:t xml:space="preserve">remain </w:t>
      </w:r>
      <w:r>
        <w:rPr>
          <w:sz w:val="24"/>
          <w:szCs w:val="24"/>
        </w:rPr>
        <w:t>hard to acquire for the average investor.</w:t>
      </w:r>
    </w:p>
    <w:p w14:paraId="658257D1" w14:textId="77777777" w:rsidR="00496D70" w:rsidRPr="00496D70" w:rsidRDefault="00496D70" w:rsidP="00496D70">
      <w:pPr>
        <w:spacing w:after="0" w:line="300" w:lineRule="atLeast"/>
        <w:rPr>
          <w:rFonts w:cstheme="minorHAnsi"/>
          <w:b/>
          <w:bCs/>
          <w:sz w:val="24"/>
          <w:szCs w:val="24"/>
        </w:rPr>
      </w:pPr>
      <w:r w:rsidRPr="00496D70">
        <w:rPr>
          <w:rFonts w:cstheme="minorHAnsi"/>
          <w:b/>
          <w:bCs/>
          <w:sz w:val="24"/>
          <w:szCs w:val="24"/>
        </w:rPr>
        <w:t xml:space="preserve">Democratization or Efficiency Gains Overlaid on Existing Framework </w:t>
      </w:r>
    </w:p>
    <w:p w14:paraId="62A9F686" w14:textId="77777777" w:rsidR="00496D70" w:rsidRDefault="00496D70" w:rsidP="00EF460C">
      <w:pPr>
        <w:shd w:val="clear" w:color="auto" w:fill="FFFFFF"/>
        <w:spacing w:after="0" w:line="240" w:lineRule="auto"/>
        <w:rPr>
          <w:rFonts w:eastAsia="Times New Roman" w:cstheme="minorHAnsi"/>
          <w:color w:val="222222"/>
          <w:kern w:val="0"/>
          <w:sz w:val="24"/>
          <w:szCs w:val="24"/>
          <w14:ligatures w14:val="none"/>
        </w:rPr>
      </w:pPr>
    </w:p>
    <w:p w14:paraId="68021AE6" w14:textId="08230352" w:rsidR="00496D70" w:rsidRDefault="00496D70" w:rsidP="00EF460C">
      <w:pPr>
        <w:shd w:val="clear" w:color="auto" w:fill="FFFFFF"/>
        <w:spacing w:after="0" w:line="240" w:lineRule="auto"/>
        <w:rPr>
          <w:rFonts w:eastAsia="Times New Roman" w:cstheme="minorHAnsi"/>
          <w:color w:val="222222"/>
          <w:kern w:val="0"/>
          <w:sz w:val="24"/>
          <w:szCs w:val="24"/>
          <w14:ligatures w14:val="none"/>
        </w:rPr>
      </w:pPr>
      <w:r>
        <w:rPr>
          <w:rFonts w:eastAsia="Times New Roman" w:cstheme="minorHAnsi"/>
          <w:color w:val="222222"/>
          <w:kern w:val="0"/>
          <w:sz w:val="24"/>
          <w:szCs w:val="24"/>
          <w14:ligatures w14:val="none"/>
        </w:rPr>
        <w:t xml:space="preserve">Democratization of investing, a claim made in 1960 when the first REITs act was passed in the United States, is based on the idea that one can buy a small </w:t>
      </w:r>
      <w:r w:rsidR="00D023A9">
        <w:rPr>
          <w:rFonts w:eastAsia="Times New Roman" w:cstheme="minorHAnsi"/>
          <w:color w:val="222222"/>
          <w:kern w:val="0"/>
          <w:sz w:val="24"/>
          <w:szCs w:val="24"/>
          <w14:ligatures w14:val="none"/>
        </w:rPr>
        <w:t>interest in</w:t>
      </w:r>
      <w:r>
        <w:rPr>
          <w:rFonts w:eastAsia="Times New Roman" w:cstheme="minorHAnsi"/>
          <w:color w:val="222222"/>
          <w:kern w:val="0"/>
          <w:sz w:val="24"/>
          <w:szCs w:val="24"/>
          <w14:ligatures w14:val="none"/>
        </w:rPr>
        <w:t xml:space="preserve"> real estate.  REIT shares provide that opportunity, </w:t>
      </w:r>
      <w:r w:rsidR="00B137AC">
        <w:rPr>
          <w:rFonts w:eastAsia="Times New Roman" w:cstheme="minorHAnsi"/>
          <w:color w:val="222222"/>
          <w:kern w:val="0"/>
          <w:sz w:val="24"/>
          <w:szCs w:val="24"/>
          <w14:ligatures w14:val="none"/>
        </w:rPr>
        <w:t xml:space="preserve">as Brad Case proclaimed at recent Hoyt meetings, </w:t>
      </w:r>
      <w:r>
        <w:rPr>
          <w:rFonts w:eastAsia="Times New Roman" w:cstheme="minorHAnsi"/>
          <w:color w:val="222222"/>
          <w:kern w:val="0"/>
          <w:sz w:val="24"/>
          <w:szCs w:val="24"/>
          <w14:ligatures w14:val="none"/>
        </w:rPr>
        <w:t>and in that respect real estate tokens offer nothing new, at least within the public markets.  Within the private sector, they may offer liquidity which does not exist today. For example, syndications typically start with a Limited Liability Corporation to own real estate and act as a GP, general partner, along with passive LPs, limited partners.  The LPs simply know the fund has a finite life and go along with the decisions of the GP.  If a LP wants to exit, the GP may help them find a buyer but this is rare.  Now, add tokenization to the process.</w:t>
      </w:r>
    </w:p>
    <w:p w14:paraId="4429986C" w14:textId="77777777" w:rsidR="00496D70" w:rsidRDefault="00496D70" w:rsidP="00EF460C">
      <w:pPr>
        <w:shd w:val="clear" w:color="auto" w:fill="FFFFFF"/>
        <w:spacing w:after="0" w:line="240" w:lineRule="auto"/>
        <w:rPr>
          <w:rFonts w:eastAsia="Times New Roman" w:cstheme="minorHAnsi"/>
          <w:color w:val="222222"/>
          <w:kern w:val="0"/>
          <w:sz w:val="24"/>
          <w:szCs w:val="24"/>
          <w14:ligatures w14:val="none"/>
        </w:rPr>
      </w:pPr>
    </w:p>
    <w:p w14:paraId="67F74EDF" w14:textId="5ED599A3" w:rsidR="00496D70" w:rsidRDefault="00B137AC" w:rsidP="00EF460C">
      <w:pPr>
        <w:shd w:val="clear" w:color="auto" w:fill="FFFFFF"/>
        <w:spacing w:after="0" w:line="240" w:lineRule="auto"/>
        <w:rPr>
          <w:rFonts w:eastAsia="Times New Roman" w:cstheme="minorHAnsi"/>
          <w:color w:val="222222"/>
          <w:kern w:val="0"/>
          <w:sz w:val="24"/>
          <w:szCs w:val="24"/>
          <w14:ligatures w14:val="none"/>
        </w:rPr>
      </w:pPr>
      <w:r>
        <w:rPr>
          <w:rFonts w:eastAsia="Times New Roman" w:cstheme="minorHAnsi"/>
          <w:color w:val="222222"/>
          <w:kern w:val="0"/>
          <w:sz w:val="24"/>
          <w:szCs w:val="24"/>
          <w14:ligatures w14:val="none"/>
        </w:rPr>
        <w:t>While the underlying owner does not change, if some or all of the LP interests were now tokenized and listed on exchanges, they may be able to exit anytime they wish.  The cost of liquidity will vary with the size and volume of the tokens</w:t>
      </w:r>
      <w:r w:rsidR="00D023A9">
        <w:rPr>
          <w:rFonts w:eastAsia="Times New Roman" w:cstheme="minorHAnsi"/>
          <w:color w:val="222222"/>
          <w:kern w:val="0"/>
          <w:sz w:val="24"/>
          <w:szCs w:val="24"/>
          <w14:ligatures w14:val="none"/>
        </w:rPr>
        <w:t>. L</w:t>
      </w:r>
      <w:r>
        <w:rPr>
          <w:rFonts w:eastAsia="Times New Roman" w:cstheme="minorHAnsi"/>
          <w:color w:val="222222"/>
          <w:kern w:val="0"/>
          <w:sz w:val="24"/>
          <w:szCs w:val="24"/>
          <w14:ligatures w14:val="none"/>
        </w:rPr>
        <w:t xml:space="preserve">arger super tokens or larger single asset tokens </w:t>
      </w:r>
      <w:r w:rsidR="00D023A9">
        <w:rPr>
          <w:rFonts w:eastAsia="Times New Roman" w:cstheme="minorHAnsi"/>
          <w:color w:val="222222"/>
          <w:kern w:val="0"/>
          <w:sz w:val="24"/>
          <w:szCs w:val="24"/>
          <w14:ligatures w14:val="none"/>
        </w:rPr>
        <w:t>w</w:t>
      </w:r>
      <w:r>
        <w:rPr>
          <w:rFonts w:eastAsia="Times New Roman" w:cstheme="minorHAnsi"/>
          <w:color w:val="222222"/>
          <w:kern w:val="0"/>
          <w:sz w:val="24"/>
          <w:szCs w:val="24"/>
          <w14:ligatures w14:val="none"/>
        </w:rPr>
        <w:t xml:space="preserve">ould provide such liquidity.   </w:t>
      </w:r>
    </w:p>
    <w:p w14:paraId="350401C6" w14:textId="3A9B0456" w:rsidR="00496D70" w:rsidRDefault="00496D70" w:rsidP="00EF460C">
      <w:pPr>
        <w:shd w:val="clear" w:color="auto" w:fill="FFFFFF"/>
        <w:spacing w:after="0" w:line="240" w:lineRule="auto"/>
        <w:rPr>
          <w:rFonts w:eastAsia="Times New Roman" w:cstheme="minorHAnsi"/>
          <w:color w:val="222222"/>
          <w:kern w:val="0"/>
          <w:sz w:val="24"/>
          <w:szCs w:val="24"/>
          <w14:ligatures w14:val="none"/>
        </w:rPr>
      </w:pPr>
      <w:r>
        <w:rPr>
          <w:rFonts w:eastAsia="Times New Roman" w:cstheme="minorHAnsi"/>
          <w:color w:val="222222"/>
          <w:kern w:val="0"/>
          <w:sz w:val="24"/>
          <w:szCs w:val="24"/>
          <w14:ligatures w14:val="none"/>
        </w:rPr>
        <w:t xml:space="preserve"> </w:t>
      </w:r>
    </w:p>
    <w:p w14:paraId="1ED2812A" w14:textId="7F722553" w:rsidR="00496D70" w:rsidRDefault="00496D70" w:rsidP="00EF460C">
      <w:pPr>
        <w:shd w:val="clear" w:color="auto" w:fill="FFFFFF"/>
        <w:spacing w:after="0" w:line="240" w:lineRule="auto"/>
        <w:rPr>
          <w:rFonts w:eastAsia="Times New Roman" w:cstheme="minorHAnsi"/>
          <w:color w:val="222222"/>
          <w:kern w:val="0"/>
          <w:sz w:val="24"/>
          <w:szCs w:val="24"/>
          <w14:ligatures w14:val="none"/>
        </w:rPr>
      </w:pPr>
      <w:r>
        <w:rPr>
          <w:rFonts w:eastAsia="Times New Roman" w:cstheme="minorHAnsi"/>
          <w:color w:val="222222"/>
          <w:kern w:val="0"/>
          <w:sz w:val="24"/>
          <w:szCs w:val="24"/>
          <w14:ligatures w14:val="none"/>
        </w:rPr>
        <w:t>Justin Earl</w:t>
      </w:r>
      <w:r w:rsidR="00D023A9">
        <w:rPr>
          <w:rFonts w:eastAsia="Times New Roman" w:cstheme="minorHAnsi"/>
          <w:color w:val="222222"/>
          <w:kern w:val="0"/>
          <w:sz w:val="24"/>
          <w:szCs w:val="24"/>
          <w14:ligatures w14:val="none"/>
        </w:rPr>
        <w:t>e</w:t>
      </w:r>
      <w:r>
        <w:rPr>
          <w:rFonts w:eastAsia="Times New Roman" w:cstheme="minorHAnsi"/>
          <w:color w:val="222222"/>
          <w:kern w:val="0"/>
          <w:sz w:val="24"/>
          <w:szCs w:val="24"/>
          <w14:ligatures w14:val="none"/>
        </w:rPr>
        <w:t xml:space="preserve">y of First American made a good case for the continued need for title insurance, even in a world of fractionalized or tokenized real estate with interests that trade on blockchain platforms.  Wise owners will still seek some protection of interests that are only recorded in the cloud.  At the same time, he and others </w:t>
      </w:r>
      <w:r w:rsidR="00D023A9">
        <w:rPr>
          <w:rFonts w:eastAsia="Times New Roman" w:cstheme="minorHAnsi"/>
          <w:color w:val="222222"/>
          <w:kern w:val="0"/>
          <w:sz w:val="24"/>
          <w:szCs w:val="24"/>
          <w14:ligatures w14:val="none"/>
        </w:rPr>
        <w:t>concur there are</w:t>
      </w:r>
      <w:r>
        <w:rPr>
          <w:rFonts w:eastAsia="Times New Roman" w:cstheme="minorHAnsi"/>
          <w:color w:val="222222"/>
          <w:kern w:val="0"/>
          <w:sz w:val="24"/>
          <w:szCs w:val="24"/>
          <w14:ligatures w14:val="none"/>
        </w:rPr>
        <w:t xml:space="preserve"> many other efficiencies with blockchain technology and smart contracts.</w:t>
      </w:r>
      <w:r w:rsidR="00B137AC">
        <w:rPr>
          <w:rFonts w:eastAsia="Times New Roman" w:cstheme="minorHAnsi"/>
          <w:color w:val="222222"/>
          <w:kern w:val="0"/>
          <w:sz w:val="24"/>
          <w:szCs w:val="24"/>
          <w14:ligatures w14:val="none"/>
        </w:rPr>
        <w:t xml:space="preserve"> Aside from potential liquidity, tokenization, and smart contracts, such as those provided by forms of Ethereum, allow for the tracking and monitoring of every financial transaction from the payment to contractors and vendors, to rental contracts that are then available to appraisers and lenders and could facilitate faster </w:t>
      </w:r>
      <w:r w:rsidR="00B137AC">
        <w:rPr>
          <w:rFonts w:eastAsia="Times New Roman" w:cstheme="minorHAnsi"/>
          <w:color w:val="222222"/>
          <w:kern w:val="0"/>
          <w:sz w:val="24"/>
          <w:szCs w:val="24"/>
          <w14:ligatures w14:val="none"/>
        </w:rPr>
        <w:lastRenderedPageBreak/>
        <w:t xml:space="preserve">appraisals and financial transactions.  Essentially, tokenization and blockchain tools would allow for private markets to morph towards the transparency of public markets. </w:t>
      </w:r>
    </w:p>
    <w:p w14:paraId="2648E85B" w14:textId="77777777" w:rsidR="00B137AC" w:rsidRDefault="00B137AC" w:rsidP="00EF460C">
      <w:pPr>
        <w:shd w:val="clear" w:color="auto" w:fill="FFFFFF"/>
        <w:spacing w:after="0" w:line="240" w:lineRule="auto"/>
        <w:rPr>
          <w:rFonts w:eastAsia="Times New Roman" w:cstheme="minorHAnsi"/>
          <w:color w:val="222222"/>
          <w:kern w:val="0"/>
          <w:sz w:val="24"/>
          <w:szCs w:val="24"/>
          <w14:ligatures w14:val="none"/>
        </w:rPr>
      </w:pPr>
    </w:p>
    <w:p w14:paraId="0EA09DAC" w14:textId="3F0A3301" w:rsidR="00A76194" w:rsidRPr="00B137AC" w:rsidRDefault="00A76194" w:rsidP="00A76194">
      <w:pPr>
        <w:rPr>
          <w:b/>
          <w:bCs/>
          <w:sz w:val="24"/>
          <w:szCs w:val="24"/>
        </w:rPr>
      </w:pPr>
      <w:r w:rsidRPr="00B137AC">
        <w:rPr>
          <w:b/>
          <w:bCs/>
          <w:sz w:val="24"/>
          <w:szCs w:val="24"/>
        </w:rPr>
        <w:t xml:space="preserve">Regulation </w:t>
      </w:r>
      <w:r w:rsidR="00B137AC">
        <w:rPr>
          <w:b/>
          <w:bCs/>
          <w:sz w:val="24"/>
          <w:szCs w:val="24"/>
        </w:rPr>
        <w:t>E</w:t>
      </w:r>
      <w:r w:rsidRPr="00B137AC">
        <w:rPr>
          <w:b/>
          <w:bCs/>
          <w:sz w:val="24"/>
          <w:szCs w:val="24"/>
        </w:rPr>
        <w:t>volving</w:t>
      </w:r>
    </w:p>
    <w:p w14:paraId="2A19A298" w14:textId="329BC3C6" w:rsidR="00184091" w:rsidRDefault="00184091" w:rsidP="00A76194">
      <w:pPr>
        <w:rPr>
          <w:sz w:val="24"/>
          <w:szCs w:val="24"/>
        </w:rPr>
      </w:pPr>
      <w:r>
        <w:rPr>
          <w:sz w:val="24"/>
          <w:szCs w:val="24"/>
        </w:rPr>
        <w:t xml:space="preserve">Among the more progressive countries/regions we see Luxembourg, Singapore and now Hong Kong encouraging and facilitating the use of digital currency and new financial efficiencies. For example, as of May of 2023, the Hong Kong Monetary Authority is allowing a </w:t>
      </w:r>
      <w:r w:rsidRPr="00184091">
        <w:rPr>
          <w:sz w:val="24"/>
          <w:szCs w:val="24"/>
        </w:rPr>
        <w:t xml:space="preserve">central bank digital currency </w:t>
      </w:r>
      <w:r>
        <w:rPr>
          <w:sz w:val="24"/>
          <w:szCs w:val="24"/>
        </w:rPr>
        <w:t xml:space="preserve">(CBDC) platform to release real estate tokens using </w:t>
      </w:r>
      <w:r w:rsidRPr="00184091">
        <w:rPr>
          <w:sz w:val="24"/>
          <w:szCs w:val="24"/>
        </w:rPr>
        <w:t>digital Hong Kong dollar</w:t>
      </w:r>
      <w:r>
        <w:rPr>
          <w:sz w:val="24"/>
          <w:szCs w:val="24"/>
        </w:rPr>
        <w:t>s</w:t>
      </w:r>
      <w:r w:rsidRPr="00184091">
        <w:rPr>
          <w:sz w:val="24"/>
          <w:szCs w:val="24"/>
        </w:rPr>
        <w:t xml:space="preserve"> (e-HKD) </w:t>
      </w:r>
      <w:r>
        <w:rPr>
          <w:sz w:val="24"/>
          <w:szCs w:val="24"/>
        </w:rPr>
        <w:t>in a</w:t>
      </w:r>
      <w:r w:rsidRPr="00184091">
        <w:rPr>
          <w:sz w:val="24"/>
          <w:szCs w:val="24"/>
        </w:rPr>
        <w:t xml:space="preserve"> pilot program </w:t>
      </w:r>
      <w:r>
        <w:rPr>
          <w:sz w:val="24"/>
          <w:szCs w:val="24"/>
        </w:rPr>
        <w:t xml:space="preserve">based on </w:t>
      </w:r>
      <w:r w:rsidRPr="00184091">
        <w:rPr>
          <w:sz w:val="24"/>
          <w:szCs w:val="24"/>
        </w:rPr>
        <w:t xml:space="preserve">real estate asset tokenization. </w:t>
      </w:r>
      <w:r>
        <w:rPr>
          <w:sz w:val="24"/>
          <w:szCs w:val="24"/>
        </w:rPr>
        <w:t xml:space="preserve">The sponsor, </w:t>
      </w:r>
      <w:hyperlink r:id="rId11" w:history="1">
        <w:r w:rsidRPr="00184091">
          <w:rPr>
            <w:rStyle w:val="Hyperlink"/>
            <w:sz w:val="24"/>
            <w:szCs w:val="24"/>
          </w:rPr>
          <w:t>Ripple</w:t>
        </w:r>
      </w:hyperlink>
      <w:r>
        <w:rPr>
          <w:sz w:val="24"/>
          <w:szCs w:val="24"/>
        </w:rPr>
        <w:t xml:space="preserve"> working with </w:t>
      </w:r>
      <w:r w:rsidRPr="00184091">
        <w:rPr>
          <w:sz w:val="24"/>
          <w:szCs w:val="24"/>
        </w:rPr>
        <w:t xml:space="preserve">Taiwan’s Fubon Bank </w:t>
      </w:r>
      <w:r>
        <w:rPr>
          <w:sz w:val="24"/>
          <w:szCs w:val="24"/>
        </w:rPr>
        <w:t>has stated that t</w:t>
      </w:r>
      <w:r w:rsidRPr="00184091">
        <w:rPr>
          <w:sz w:val="24"/>
          <w:szCs w:val="24"/>
        </w:rPr>
        <w:t>okenization can reduce friction in the equity release process and speed throughput for banks</w:t>
      </w:r>
      <w:r>
        <w:rPr>
          <w:sz w:val="24"/>
          <w:szCs w:val="24"/>
        </w:rPr>
        <w:t xml:space="preserve">. </w:t>
      </w:r>
    </w:p>
    <w:p w14:paraId="0F7347B0" w14:textId="261D87A9" w:rsidR="00612571" w:rsidRDefault="00612571" w:rsidP="00612571">
      <w:pPr>
        <w:rPr>
          <w:sz w:val="24"/>
          <w:szCs w:val="24"/>
        </w:rPr>
      </w:pPr>
      <w:r w:rsidRPr="00612571">
        <w:rPr>
          <w:sz w:val="24"/>
          <w:szCs w:val="24"/>
        </w:rPr>
        <w:t>Already recognized as the European hub for investment funds, Luxembourg is becoming a leader in the development of digital assets in the financial market. For the past few years, Luxembourg has been promoting innovation and adapting its legislative framework to welcome the integration of blockchain at various levels.</w:t>
      </w:r>
      <w:r>
        <w:rPr>
          <w:sz w:val="24"/>
          <w:szCs w:val="24"/>
        </w:rPr>
        <w:t xml:space="preserve">  T</w:t>
      </w:r>
      <w:r w:rsidRPr="00612571">
        <w:rPr>
          <w:sz w:val="24"/>
          <w:szCs w:val="24"/>
        </w:rPr>
        <w:t xml:space="preserve">okenization of real estate assets is already a reality in Luxembourg. </w:t>
      </w:r>
    </w:p>
    <w:p w14:paraId="0EEFC368" w14:textId="4F0F4D48" w:rsidR="00612571" w:rsidRPr="00612571" w:rsidRDefault="00612571" w:rsidP="00612571">
      <w:pPr>
        <w:rPr>
          <w:sz w:val="24"/>
          <w:szCs w:val="24"/>
        </w:rPr>
      </w:pPr>
      <w:r>
        <w:rPr>
          <w:sz w:val="24"/>
          <w:szCs w:val="24"/>
        </w:rPr>
        <w:t xml:space="preserve">In 2019 </w:t>
      </w:r>
      <w:r w:rsidR="00D023A9">
        <w:rPr>
          <w:sz w:val="24"/>
          <w:szCs w:val="24"/>
        </w:rPr>
        <w:t xml:space="preserve">Singapore </w:t>
      </w:r>
      <w:r>
        <w:rPr>
          <w:sz w:val="24"/>
          <w:szCs w:val="24"/>
        </w:rPr>
        <w:t xml:space="preserve">passed regulation to allow for security tokens of all types to be issued. It sees itself as a possible hub for trading real estate tokens on a global basis.  </w:t>
      </w:r>
    </w:p>
    <w:p w14:paraId="26FDF910" w14:textId="5E92E510" w:rsidR="00184091" w:rsidRDefault="00612571" w:rsidP="00A76194">
      <w:pPr>
        <w:rPr>
          <w:sz w:val="24"/>
          <w:szCs w:val="24"/>
        </w:rPr>
      </w:pPr>
      <w:r>
        <w:rPr>
          <w:sz w:val="24"/>
          <w:szCs w:val="24"/>
        </w:rPr>
        <w:t xml:space="preserve">In the United States, it seems that regulation will be at the state level and that for the most part, according to Guy </w:t>
      </w:r>
      <w:proofErr w:type="spellStart"/>
      <w:r>
        <w:rPr>
          <w:sz w:val="24"/>
          <w:szCs w:val="24"/>
        </w:rPr>
        <w:t>Tcheau</w:t>
      </w:r>
      <w:proofErr w:type="spellEnd"/>
      <w:r>
        <w:rPr>
          <w:sz w:val="24"/>
          <w:szCs w:val="24"/>
        </w:rPr>
        <w:t xml:space="preserve"> of Principal, it will likely be “regulation by litigation”, meaning a lack of clear regulation and litany of minefields for early sponsors until we eventually get </w:t>
      </w:r>
      <w:r w:rsidR="00D023A9">
        <w:rPr>
          <w:sz w:val="24"/>
          <w:szCs w:val="24"/>
        </w:rPr>
        <w:t xml:space="preserve">regulation </w:t>
      </w:r>
      <w:r>
        <w:rPr>
          <w:sz w:val="24"/>
          <w:szCs w:val="24"/>
        </w:rPr>
        <w:t xml:space="preserve">clarity.  Until then, the more progressive states will likely become centers for token issuers.  </w:t>
      </w:r>
    </w:p>
    <w:p w14:paraId="193F0485" w14:textId="4115CE24" w:rsidR="00184091" w:rsidRDefault="00B137AC" w:rsidP="00A76194">
      <w:pPr>
        <w:rPr>
          <w:b/>
          <w:bCs/>
          <w:sz w:val="24"/>
          <w:szCs w:val="24"/>
        </w:rPr>
      </w:pPr>
      <w:r w:rsidRPr="00B137AC">
        <w:rPr>
          <w:b/>
          <w:bCs/>
          <w:sz w:val="24"/>
          <w:szCs w:val="24"/>
        </w:rPr>
        <w:t>Real Estate Tokenization 3.0</w:t>
      </w:r>
    </w:p>
    <w:p w14:paraId="2828FA68" w14:textId="4D8B8076" w:rsidR="003C2BDE" w:rsidRDefault="003C2BDE" w:rsidP="00A76194">
      <w:pPr>
        <w:rPr>
          <w:sz w:val="24"/>
          <w:szCs w:val="24"/>
        </w:rPr>
      </w:pPr>
      <w:r>
        <w:rPr>
          <w:sz w:val="24"/>
          <w:szCs w:val="24"/>
        </w:rPr>
        <w:t>While there are 242 real estate tokens listed at Security Token Group, most are small single assets that will never achieve much liquidity</w:t>
      </w:r>
      <w:r w:rsidR="00AA530D">
        <w:rPr>
          <w:sz w:val="24"/>
          <w:szCs w:val="24"/>
        </w:rPr>
        <w:t xml:space="preserve">, nor is there enough information for investors to make an informed buy or sell decision.  I envision a third party such as Black Knight/Collateral Analytics or CoStar or RCA/MSCI or RealFoundations, </w:t>
      </w:r>
      <w:r w:rsidR="00F30186">
        <w:rPr>
          <w:sz w:val="24"/>
          <w:szCs w:val="24"/>
        </w:rPr>
        <w:t xml:space="preserve">Moody’s </w:t>
      </w:r>
      <w:r w:rsidR="00AA530D">
        <w:rPr>
          <w:sz w:val="24"/>
          <w:szCs w:val="24"/>
        </w:rPr>
        <w:t>or others providing a Yahoo Finance type of platform that may look something like this, all hypothetical:</w:t>
      </w:r>
    </w:p>
    <w:p w14:paraId="41E82F09" w14:textId="77777777" w:rsidR="00AA530D" w:rsidRDefault="00AA530D" w:rsidP="00A76194">
      <w:pPr>
        <w:rPr>
          <w:sz w:val="24"/>
          <w:szCs w:val="24"/>
        </w:rPr>
      </w:pPr>
    </w:p>
    <w:p w14:paraId="429B1693" w14:textId="77777777" w:rsidR="00AA530D" w:rsidRDefault="00AA530D" w:rsidP="00A76194">
      <w:pPr>
        <w:rPr>
          <w:sz w:val="24"/>
          <w:szCs w:val="24"/>
        </w:rPr>
      </w:pPr>
    </w:p>
    <w:p w14:paraId="5644808F" w14:textId="77777777" w:rsidR="00AA530D" w:rsidRDefault="00AA530D" w:rsidP="00A76194">
      <w:pPr>
        <w:rPr>
          <w:sz w:val="24"/>
          <w:szCs w:val="24"/>
        </w:rPr>
      </w:pPr>
    </w:p>
    <w:p w14:paraId="5F7C337F" w14:textId="6DC36376" w:rsidR="00F30186" w:rsidRDefault="00F30186" w:rsidP="00A76194">
      <w:pPr>
        <w:rPr>
          <w:sz w:val="24"/>
          <w:szCs w:val="24"/>
        </w:rPr>
      </w:pPr>
      <w:r>
        <w:rPr>
          <w:sz w:val="24"/>
          <w:szCs w:val="24"/>
        </w:rPr>
        <w:br/>
      </w:r>
    </w:p>
    <w:p w14:paraId="7BCB9116" w14:textId="77777777" w:rsidR="00F30186" w:rsidRDefault="00F30186">
      <w:pPr>
        <w:rPr>
          <w:sz w:val="24"/>
          <w:szCs w:val="24"/>
        </w:rPr>
      </w:pPr>
      <w:r>
        <w:rPr>
          <w:sz w:val="24"/>
          <w:szCs w:val="24"/>
        </w:rPr>
        <w:br w:type="page"/>
      </w:r>
    </w:p>
    <w:p w14:paraId="6AD0F7E8" w14:textId="77777777" w:rsidR="00AA530D" w:rsidRDefault="00AA530D" w:rsidP="00A76194">
      <w:pPr>
        <w:rPr>
          <w:sz w:val="24"/>
          <w:szCs w:val="24"/>
        </w:rPr>
      </w:pPr>
    </w:p>
    <w:tbl>
      <w:tblPr>
        <w:tblStyle w:val="TableGrid"/>
        <w:tblW w:w="0" w:type="auto"/>
        <w:tblLook w:val="04A0" w:firstRow="1" w:lastRow="0" w:firstColumn="1" w:lastColumn="0" w:noHBand="0" w:noVBand="1"/>
      </w:tblPr>
      <w:tblGrid>
        <w:gridCol w:w="2337"/>
        <w:gridCol w:w="2337"/>
        <w:gridCol w:w="2338"/>
        <w:gridCol w:w="2338"/>
      </w:tblGrid>
      <w:tr w:rsidR="00AA530D" w14:paraId="15E5F180" w14:textId="77777777" w:rsidTr="003570F4">
        <w:tc>
          <w:tcPr>
            <w:tcW w:w="2337" w:type="dxa"/>
          </w:tcPr>
          <w:p w14:paraId="5C531621" w14:textId="00E59DA7" w:rsidR="00AA530D" w:rsidRPr="00943033" w:rsidRDefault="00AA530D" w:rsidP="00A76194">
            <w:pPr>
              <w:rPr>
                <w:b/>
                <w:bCs/>
                <w:sz w:val="24"/>
                <w:szCs w:val="24"/>
              </w:rPr>
            </w:pPr>
            <w:r w:rsidRPr="00943033">
              <w:rPr>
                <w:b/>
                <w:bCs/>
                <w:sz w:val="24"/>
                <w:szCs w:val="24"/>
              </w:rPr>
              <w:t>Token</w:t>
            </w:r>
          </w:p>
        </w:tc>
        <w:tc>
          <w:tcPr>
            <w:tcW w:w="7013" w:type="dxa"/>
            <w:gridSpan w:val="3"/>
          </w:tcPr>
          <w:p w14:paraId="28992324" w14:textId="5030238C" w:rsidR="00AA530D" w:rsidRPr="00F30186" w:rsidRDefault="00AA530D" w:rsidP="00A76194">
            <w:pPr>
              <w:rPr>
                <w:b/>
                <w:bCs/>
                <w:sz w:val="24"/>
                <w:szCs w:val="24"/>
              </w:rPr>
            </w:pPr>
            <w:proofErr w:type="spellStart"/>
            <w:r w:rsidRPr="00F30186">
              <w:rPr>
                <w:b/>
                <w:bCs/>
                <w:sz w:val="24"/>
                <w:szCs w:val="24"/>
              </w:rPr>
              <w:t>Honeybricks</w:t>
            </w:r>
            <w:proofErr w:type="spellEnd"/>
            <w:r w:rsidRPr="00F30186">
              <w:rPr>
                <w:b/>
                <w:bCs/>
                <w:sz w:val="24"/>
                <w:szCs w:val="24"/>
              </w:rPr>
              <w:t xml:space="preserve"> Denver MF Fund 20</w:t>
            </w:r>
            <w:r w:rsidR="00942D2A">
              <w:rPr>
                <w:b/>
                <w:bCs/>
                <w:sz w:val="24"/>
                <w:szCs w:val="24"/>
              </w:rPr>
              <w:t xml:space="preserve">   denoted as “HBDF20”</w:t>
            </w:r>
          </w:p>
        </w:tc>
      </w:tr>
      <w:tr w:rsidR="00054FD0" w14:paraId="3830D212" w14:textId="77777777" w:rsidTr="003570F4">
        <w:tc>
          <w:tcPr>
            <w:tcW w:w="2337" w:type="dxa"/>
          </w:tcPr>
          <w:p w14:paraId="36C17339" w14:textId="599AC7B8" w:rsidR="00054FD0" w:rsidRDefault="00054FD0" w:rsidP="00A76194">
            <w:pPr>
              <w:rPr>
                <w:sz w:val="24"/>
                <w:szCs w:val="24"/>
              </w:rPr>
            </w:pPr>
            <w:r>
              <w:rPr>
                <w:sz w:val="24"/>
                <w:szCs w:val="24"/>
              </w:rPr>
              <w:t>Sponsor</w:t>
            </w:r>
          </w:p>
        </w:tc>
        <w:tc>
          <w:tcPr>
            <w:tcW w:w="7013" w:type="dxa"/>
            <w:gridSpan w:val="3"/>
          </w:tcPr>
          <w:p w14:paraId="366E1538" w14:textId="00F46F9D" w:rsidR="00054FD0" w:rsidRDefault="00054FD0" w:rsidP="00A76194">
            <w:pPr>
              <w:rPr>
                <w:sz w:val="24"/>
                <w:szCs w:val="24"/>
              </w:rPr>
            </w:pPr>
            <w:proofErr w:type="spellStart"/>
            <w:r w:rsidRPr="00F30186">
              <w:rPr>
                <w:b/>
                <w:bCs/>
                <w:sz w:val="24"/>
                <w:szCs w:val="24"/>
              </w:rPr>
              <w:t>Honeybricks</w:t>
            </w:r>
            <w:proofErr w:type="spellEnd"/>
            <w:r>
              <w:rPr>
                <w:sz w:val="24"/>
                <w:szCs w:val="24"/>
              </w:rPr>
              <w:t xml:space="preserve"> Rated A+ by the analysts listed below</w:t>
            </w:r>
          </w:p>
        </w:tc>
      </w:tr>
      <w:tr w:rsidR="00AA530D" w14:paraId="2504A7F5" w14:textId="77777777" w:rsidTr="00D74E22">
        <w:tc>
          <w:tcPr>
            <w:tcW w:w="2337" w:type="dxa"/>
          </w:tcPr>
          <w:p w14:paraId="316E71AD" w14:textId="0EE99396" w:rsidR="00AA530D" w:rsidRDefault="00AA530D" w:rsidP="00A76194">
            <w:pPr>
              <w:rPr>
                <w:sz w:val="24"/>
                <w:szCs w:val="24"/>
              </w:rPr>
            </w:pPr>
            <w:r>
              <w:rPr>
                <w:sz w:val="24"/>
                <w:szCs w:val="24"/>
              </w:rPr>
              <w:t>Description</w:t>
            </w:r>
          </w:p>
        </w:tc>
        <w:tc>
          <w:tcPr>
            <w:tcW w:w="7013" w:type="dxa"/>
            <w:gridSpan w:val="3"/>
          </w:tcPr>
          <w:p w14:paraId="3AD1FDDC" w14:textId="1EF654E4" w:rsidR="00AA530D" w:rsidRDefault="00AA530D" w:rsidP="00A76194">
            <w:pPr>
              <w:rPr>
                <w:sz w:val="24"/>
                <w:szCs w:val="24"/>
              </w:rPr>
            </w:pPr>
            <w:r>
              <w:rPr>
                <w:sz w:val="24"/>
                <w:szCs w:val="24"/>
              </w:rPr>
              <w:t xml:space="preserve">18 class A multifamily properties with a total of 2550 units. Click </w:t>
            </w:r>
            <w:r w:rsidRPr="00AA530D">
              <w:rPr>
                <w:b/>
                <w:bCs/>
                <w:sz w:val="24"/>
                <w:szCs w:val="24"/>
              </w:rPr>
              <w:t xml:space="preserve">here </w:t>
            </w:r>
            <w:r>
              <w:rPr>
                <w:sz w:val="24"/>
                <w:szCs w:val="24"/>
              </w:rPr>
              <w:t xml:space="preserve">for photos and more information. </w:t>
            </w:r>
          </w:p>
        </w:tc>
      </w:tr>
      <w:tr w:rsidR="00AA530D" w14:paraId="132D55E4" w14:textId="77777777" w:rsidTr="008B36D5">
        <w:tc>
          <w:tcPr>
            <w:tcW w:w="2337" w:type="dxa"/>
          </w:tcPr>
          <w:p w14:paraId="3EAC1CF9" w14:textId="09C26520" w:rsidR="00AA530D" w:rsidRDefault="00AA530D" w:rsidP="00A76194">
            <w:pPr>
              <w:rPr>
                <w:sz w:val="24"/>
                <w:szCs w:val="24"/>
              </w:rPr>
            </w:pPr>
            <w:r>
              <w:rPr>
                <w:sz w:val="24"/>
                <w:szCs w:val="24"/>
              </w:rPr>
              <w:t>Market Cap</w:t>
            </w:r>
          </w:p>
        </w:tc>
        <w:tc>
          <w:tcPr>
            <w:tcW w:w="7013" w:type="dxa"/>
            <w:gridSpan w:val="3"/>
          </w:tcPr>
          <w:p w14:paraId="4282135B" w14:textId="30C43877" w:rsidR="00AA530D" w:rsidRDefault="00AA530D" w:rsidP="00A76194">
            <w:pPr>
              <w:rPr>
                <w:sz w:val="24"/>
                <w:szCs w:val="24"/>
              </w:rPr>
            </w:pPr>
            <w:r w:rsidRPr="00F30186">
              <w:rPr>
                <w:b/>
                <w:bCs/>
                <w:sz w:val="24"/>
                <w:szCs w:val="24"/>
              </w:rPr>
              <w:t>$1.1475</w:t>
            </w:r>
            <w:r>
              <w:rPr>
                <w:sz w:val="24"/>
                <w:szCs w:val="24"/>
              </w:rPr>
              <w:t xml:space="preserve"> billion US dollars </w:t>
            </w:r>
          </w:p>
        </w:tc>
      </w:tr>
      <w:tr w:rsidR="00AA530D" w14:paraId="5D5F796E" w14:textId="77777777" w:rsidTr="00AA530D">
        <w:tc>
          <w:tcPr>
            <w:tcW w:w="2337" w:type="dxa"/>
          </w:tcPr>
          <w:p w14:paraId="4D44B869" w14:textId="6AB203A3" w:rsidR="00AA530D" w:rsidRDefault="00054FD0" w:rsidP="00A76194">
            <w:pPr>
              <w:rPr>
                <w:sz w:val="24"/>
                <w:szCs w:val="24"/>
              </w:rPr>
            </w:pPr>
            <w:r>
              <w:rPr>
                <w:sz w:val="24"/>
                <w:szCs w:val="24"/>
              </w:rPr>
              <w:t>Current Valuation Estimate</w:t>
            </w:r>
            <w:r w:rsidR="00F30186">
              <w:rPr>
                <w:sz w:val="24"/>
                <w:szCs w:val="24"/>
              </w:rPr>
              <w:t xml:space="preserve"> NAV</w:t>
            </w:r>
          </w:p>
        </w:tc>
        <w:tc>
          <w:tcPr>
            <w:tcW w:w="2337" w:type="dxa"/>
          </w:tcPr>
          <w:p w14:paraId="606370E7" w14:textId="4039F545" w:rsidR="00AA530D" w:rsidRDefault="00054FD0" w:rsidP="00A76194">
            <w:pPr>
              <w:rPr>
                <w:sz w:val="24"/>
                <w:szCs w:val="24"/>
              </w:rPr>
            </w:pPr>
            <w:r>
              <w:rPr>
                <w:sz w:val="24"/>
                <w:szCs w:val="24"/>
              </w:rPr>
              <w:t>$1.1350 billion source: Col Anal</w:t>
            </w:r>
          </w:p>
        </w:tc>
        <w:tc>
          <w:tcPr>
            <w:tcW w:w="2338" w:type="dxa"/>
          </w:tcPr>
          <w:p w14:paraId="18108E10" w14:textId="77777777" w:rsidR="00AA530D" w:rsidRDefault="00054FD0" w:rsidP="00A76194">
            <w:pPr>
              <w:rPr>
                <w:sz w:val="24"/>
                <w:szCs w:val="24"/>
              </w:rPr>
            </w:pPr>
            <w:r>
              <w:rPr>
                <w:sz w:val="24"/>
                <w:szCs w:val="24"/>
              </w:rPr>
              <w:t>Current LTV estimate</w:t>
            </w:r>
          </w:p>
          <w:p w14:paraId="61EF492C" w14:textId="2E0976AA" w:rsidR="00054FD0" w:rsidRDefault="00054FD0" w:rsidP="00A76194">
            <w:pPr>
              <w:rPr>
                <w:sz w:val="24"/>
                <w:szCs w:val="24"/>
              </w:rPr>
            </w:pPr>
            <w:r>
              <w:rPr>
                <w:sz w:val="24"/>
                <w:szCs w:val="24"/>
              </w:rPr>
              <w:t>Lender: JPMC</w:t>
            </w:r>
          </w:p>
        </w:tc>
        <w:tc>
          <w:tcPr>
            <w:tcW w:w="2338" w:type="dxa"/>
          </w:tcPr>
          <w:p w14:paraId="3E1F7422" w14:textId="77777777" w:rsidR="00054FD0" w:rsidRDefault="00054FD0" w:rsidP="00A76194">
            <w:pPr>
              <w:rPr>
                <w:sz w:val="24"/>
                <w:szCs w:val="24"/>
              </w:rPr>
            </w:pPr>
            <w:r>
              <w:rPr>
                <w:sz w:val="24"/>
                <w:szCs w:val="24"/>
              </w:rPr>
              <w:t xml:space="preserve">49.5% </w:t>
            </w:r>
          </w:p>
          <w:p w14:paraId="33D71578" w14:textId="167FC118" w:rsidR="00AA530D" w:rsidRDefault="00054FD0" w:rsidP="00A76194">
            <w:pPr>
              <w:rPr>
                <w:sz w:val="24"/>
                <w:szCs w:val="24"/>
              </w:rPr>
            </w:pPr>
            <w:r>
              <w:rPr>
                <w:sz w:val="24"/>
                <w:szCs w:val="24"/>
              </w:rPr>
              <w:t xml:space="preserve">For terms click </w:t>
            </w:r>
            <w:r w:rsidRPr="00054FD0">
              <w:rPr>
                <w:b/>
                <w:bCs/>
                <w:sz w:val="24"/>
                <w:szCs w:val="24"/>
              </w:rPr>
              <w:t>here.</w:t>
            </w:r>
          </w:p>
        </w:tc>
      </w:tr>
      <w:tr w:rsidR="00AA530D" w14:paraId="68229206" w14:textId="77777777" w:rsidTr="00AA530D">
        <w:tc>
          <w:tcPr>
            <w:tcW w:w="2337" w:type="dxa"/>
          </w:tcPr>
          <w:p w14:paraId="32C24CD3" w14:textId="5E20F36F" w:rsidR="00AA530D" w:rsidRDefault="00054FD0" w:rsidP="00A76194">
            <w:pPr>
              <w:rPr>
                <w:sz w:val="24"/>
                <w:szCs w:val="24"/>
              </w:rPr>
            </w:pPr>
            <w:r>
              <w:rPr>
                <w:sz w:val="24"/>
                <w:szCs w:val="24"/>
              </w:rPr>
              <w:t>Property average rent per square foot in US dollars</w:t>
            </w:r>
          </w:p>
        </w:tc>
        <w:tc>
          <w:tcPr>
            <w:tcW w:w="2337" w:type="dxa"/>
          </w:tcPr>
          <w:p w14:paraId="630A08A7" w14:textId="56FBA68D" w:rsidR="00AA530D" w:rsidRDefault="00054FD0" w:rsidP="00A76194">
            <w:pPr>
              <w:rPr>
                <w:sz w:val="24"/>
                <w:szCs w:val="24"/>
              </w:rPr>
            </w:pPr>
            <w:r>
              <w:rPr>
                <w:sz w:val="24"/>
                <w:szCs w:val="24"/>
              </w:rPr>
              <w:t>$4.50</w:t>
            </w:r>
          </w:p>
        </w:tc>
        <w:tc>
          <w:tcPr>
            <w:tcW w:w="2338" w:type="dxa"/>
          </w:tcPr>
          <w:p w14:paraId="12FACBE2" w14:textId="32EDD14B" w:rsidR="00AA530D" w:rsidRDefault="00054FD0" w:rsidP="00A76194">
            <w:pPr>
              <w:rPr>
                <w:sz w:val="24"/>
                <w:szCs w:val="24"/>
              </w:rPr>
            </w:pPr>
            <w:r>
              <w:rPr>
                <w:sz w:val="24"/>
                <w:szCs w:val="24"/>
              </w:rPr>
              <w:t>Peer property rents per square foot in US dollars</w:t>
            </w:r>
          </w:p>
        </w:tc>
        <w:tc>
          <w:tcPr>
            <w:tcW w:w="2338" w:type="dxa"/>
          </w:tcPr>
          <w:p w14:paraId="3A6C4F14" w14:textId="6D03E275" w:rsidR="00AA530D" w:rsidRDefault="00054FD0" w:rsidP="00A76194">
            <w:pPr>
              <w:rPr>
                <w:sz w:val="24"/>
                <w:szCs w:val="24"/>
              </w:rPr>
            </w:pPr>
            <w:r>
              <w:rPr>
                <w:sz w:val="24"/>
                <w:szCs w:val="24"/>
              </w:rPr>
              <w:t xml:space="preserve">$4.65     For peer property list and map click </w:t>
            </w:r>
            <w:r w:rsidRPr="00054FD0">
              <w:rPr>
                <w:b/>
                <w:bCs/>
                <w:sz w:val="24"/>
                <w:szCs w:val="24"/>
              </w:rPr>
              <w:t>here.</w:t>
            </w:r>
          </w:p>
        </w:tc>
      </w:tr>
      <w:tr w:rsidR="00AA530D" w14:paraId="1124239D" w14:textId="77777777" w:rsidTr="00AA530D">
        <w:tc>
          <w:tcPr>
            <w:tcW w:w="2337" w:type="dxa"/>
          </w:tcPr>
          <w:p w14:paraId="1148CF44" w14:textId="6D5B481F" w:rsidR="00AA530D" w:rsidRDefault="00054FD0" w:rsidP="00A76194">
            <w:pPr>
              <w:rPr>
                <w:sz w:val="24"/>
                <w:szCs w:val="24"/>
              </w:rPr>
            </w:pPr>
            <w:r>
              <w:rPr>
                <w:sz w:val="24"/>
                <w:szCs w:val="24"/>
              </w:rPr>
              <w:t>YOY Value Trend</w:t>
            </w:r>
          </w:p>
        </w:tc>
        <w:tc>
          <w:tcPr>
            <w:tcW w:w="2337" w:type="dxa"/>
          </w:tcPr>
          <w:p w14:paraId="31442A70" w14:textId="4B000B16" w:rsidR="00AA530D" w:rsidRDefault="00054FD0" w:rsidP="00A76194">
            <w:pPr>
              <w:rPr>
                <w:sz w:val="24"/>
                <w:szCs w:val="24"/>
              </w:rPr>
            </w:pPr>
            <w:r>
              <w:rPr>
                <w:sz w:val="24"/>
                <w:szCs w:val="24"/>
              </w:rPr>
              <w:t>3.2%</w:t>
            </w:r>
          </w:p>
        </w:tc>
        <w:tc>
          <w:tcPr>
            <w:tcW w:w="2338" w:type="dxa"/>
          </w:tcPr>
          <w:p w14:paraId="1F1CD026" w14:textId="1E0DBF7C" w:rsidR="00AA530D" w:rsidRDefault="00054FD0" w:rsidP="00A76194">
            <w:pPr>
              <w:rPr>
                <w:sz w:val="24"/>
                <w:szCs w:val="24"/>
              </w:rPr>
            </w:pPr>
            <w:r>
              <w:rPr>
                <w:sz w:val="24"/>
                <w:szCs w:val="24"/>
              </w:rPr>
              <w:t>Token Bid Price</w:t>
            </w:r>
          </w:p>
        </w:tc>
        <w:tc>
          <w:tcPr>
            <w:tcW w:w="2338" w:type="dxa"/>
          </w:tcPr>
          <w:p w14:paraId="2F6A03E5" w14:textId="6ABAA679" w:rsidR="00AA530D" w:rsidRDefault="00054FD0" w:rsidP="00A76194">
            <w:pPr>
              <w:rPr>
                <w:sz w:val="24"/>
                <w:szCs w:val="24"/>
              </w:rPr>
            </w:pPr>
            <w:r>
              <w:rPr>
                <w:sz w:val="24"/>
                <w:szCs w:val="24"/>
              </w:rPr>
              <w:t>$5.15</w:t>
            </w:r>
          </w:p>
        </w:tc>
      </w:tr>
      <w:tr w:rsidR="00AA530D" w14:paraId="73ACDA65" w14:textId="77777777" w:rsidTr="00AA530D">
        <w:tc>
          <w:tcPr>
            <w:tcW w:w="2337" w:type="dxa"/>
          </w:tcPr>
          <w:p w14:paraId="3276F316" w14:textId="5C023E8A" w:rsidR="00AA530D" w:rsidRDefault="00054FD0" w:rsidP="00A76194">
            <w:pPr>
              <w:rPr>
                <w:sz w:val="24"/>
                <w:szCs w:val="24"/>
              </w:rPr>
            </w:pPr>
            <w:r>
              <w:rPr>
                <w:sz w:val="24"/>
                <w:szCs w:val="24"/>
              </w:rPr>
              <w:t>YOY Rent Trend</w:t>
            </w:r>
          </w:p>
        </w:tc>
        <w:tc>
          <w:tcPr>
            <w:tcW w:w="2337" w:type="dxa"/>
          </w:tcPr>
          <w:p w14:paraId="18585D8C" w14:textId="241639CF" w:rsidR="00AA530D" w:rsidRDefault="00054FD0" w:rsidP="00A76194">
            <w:pPr>
              <w:rPr>
                <w:sz w:val="24"/>
                <w:szCs w:val="24"/>
              </w:rPr>
            </w:pPr>
            <w:r>
              <w:rPr>
                <w:sz w:val="24"/>
                <w:szCs w:val="24"/>
              </w:rPr>
              <w:t>4.1%</w:t>
            </w:r>
          </w:p>
        </w:tc>
        <w:tc>
          <w:tcPr>
            <w:tcW w:w="2338" w:type="dxa"/>
          </w:tcPr>
          <w:p w14:paraId="11099370" w14:textId="229FB288" w:rsidR="00AA530D" w:rsidRDefault="00054FD0" w:rsidP="00A76194">
            <w:pPr>
              <w:rPr>
                <w:sz w:val="24"/>
                <w:szCs w:val="24"/>
              </w:rPr>
            </w:pPr>
            <w:r>
              <w:rPr>
                <w:sz w:val="24"/>
                <w:szCs w:val="24"/>
              </w:rPr>
              <w:t>Token Ask Price</w:t>
            </w:r>
          </w:p>
        </w:tc>
        <w:tc>
          <w:tcPr>
            <w:tcW w:w="2338" w:type="dxa"/>
          </w:tcPr>
          <w:p w14:paraId="3769DF6B" w14:textId="36DB25F2" w:rsidR="00AA530D" w:rsidRDefault="00054FD0" w:rsidP="00A76194">
            <w:pPr>
              <w:rPr>
                <w:sz w:val="24"/>
                <w:szCs w:val="24"/>
              </w:rPr>
            </w:pPr>
            <w:r>
              <w:rPr>
                <w:sz w:val="24"/>
                <w:szCs w:val="24"/>
              </w:rPr>
              <w:t>$5.35</w:t>
            </w:r>
          </w:p>
        </w:tc>
      </w:tr>
      <w:tr w:rsidR="00AA530D" w14:paraId="13CD1FD4" w14:textId="77777777" w:rsidTr="00AA530D">
        <w:tc>
          <w:tcPr>
            <w:tcW w:w="2337" w:type="dxa"/>
          </w:tcPr>
          <w:p w14:paraId="49433C51" w14:textId="01355D9D" w:rsidR="00AA530D" w:rsidRDefault="00054FD0" w:rsidP="00A76194">
            <w:pPr>
              <w:rPr>
                <w:sz w:val="24"/>
                <w:szCs w:val="24"/>
              </w:rPr>
            </w:pPr>
            <w:r>
              <w:rPr>
                <w:sz w:val="24"/>
                <w:szCs w:val="24"/>
              </w:rPr>
              <w:t>Cash on Cash Yield</w:t>
            </w:r>
          </w:p>
        </w:tc>
        <w:tc>
          <w:tcPr>
            <w:tcW w:w="2337" w:type="dxa"/>
          </w:tcPr>
          <w:p w14:paraId="336DD15C" w14:textId="34C30404" w:rsidR="00AA530D" w:rsidRDefault="00054FD0" w:rsidP="00A76194">
            <w:pPr>
              <w:rPr>
                <w:sz w:val="24"/>
                <w:szCs w:val="24"/>
              </w:rPr>
            </w:pPr>
            <w:r>
              <w:rPr>
                <w:sz w:val="24"/>
                <w:szCs w:val="24"/>
              </w:rPr>
              <w:t>3.9%</w:t>
            </w:r>
          </w:p>
        </w:tc>
        <w:tc>
          <w:tcPr>
            <w:tcW w:w="2338" w:type="dxa"/>
          </w:tcPr>
          <w:p w14:paraId="17057969" w14:textId="7AC4C4FA" w:rsidR="00AA530D" w:rsidRDefault="00054FD0" w:rsidP="00A76194">
            <w:pPr>
              <w:rPr>
                <w:sz w:val="24"/>
                <w:szCs w:val="24"/>
              </w:rPr>
            </w:pPr>
            <w:r>
              <w:rPr>
                <w:sz w:val="24"/>
                <w:szCs w:val="24"/>
              </w:rPr>
              <w:t>Last Trade</w:t>
            </w:r>
          </w:p>
        </w:tc>
        <w:tc>
          <w:tcPr>
            <w:tcW w:w="2338" w:type="dxa"/>
          </w:tcPr>
          <w:p w14:paraId="480F7375" w14:textId="205E0838" w:rsidR="00AA530D" w:rsidRDefault="00054FD0" w:rsidP="00A76194">
            <w:pPr>
              <w:rPr>
                <w:sz w:val="24"/>
                <w:szCs w:val="24"/>
              </w:rPr>
            </w:pPr>
            <w:r>
              <w:rPr>
                <w:sz w:val="24"/>
                <w:szCs w:val="24"/>
              </w:rPr>
              <w:t>$5.30</w:t>
            </w:r>
          </w:p>
        </w:tc>
      </w:tr>
      <w:tr w:rsidR="00054FD0" w14:paraId="65AE7DD1" w14:textId="77777777" w:rsidTr="00AA530D">
        <w:tc>
          <w:tcPr>
            <w:tcW w:w="2337" w:type="dxa"/>
          </w:tcPr>
          <w:p w14:paraId="37238838" w14:textId="5117FB7B" w:rsidR="00054FD0" w:rsidRDefault="00054FD0" w:rsidP="00A76194">
            <w:pPr>
              <w:rPr>
                <w:sz w:val="24"/>
                <w:szCs w:val="24"/>
              </w:rPr>
            </w:pPr>
            <w:r>
              <w:rPr>
                <w:sz w:val="24"/>
                <w:szCs w:val="24"/>
              </w:rPr>
              <w:t>Average Daily Vol</w:t>
            </w:r>
          </w:p>
        </w:tc>
        <w:tc>
          <w:tcPr>
            <w:tcW w:w="2337" w:type="dxa"/>
          </w:tcPr>
          <w:p w14:paraId="692D989E" w14:textId="06C24992" w:rsidR="00054FD0" w:rsidRDefault="00054FD0" w:rsidP="00A76194">
            <w:pPr>
              <w:rPr>
                <w:sz w:val="24"/>
                <w:szCs w:val="24"/>
              </w:rPr>
            </w:pPr>
            <w:r>
              <w:rPr>
                <w:sz w:val="24"/>
                <w:szCs w:val="24"/>
              </w:rPr>
              <w:t>11,</w:t>
            </w:r>
            <w:r w:rsidR="00F30186">
              <w:rPr>
                <w:sz w:val="24"/>
                <w:szCs w:val="24"/>
              </w:rPr>
              <w:t>3</w:t>
            </w:r>
            <w:r>
              <w:rPr>
                <w:sz w:val="24"/>
                <w:szCs w:val="24"/>
              </w:rPr>
              <w:t>00 tokens</w:t>
            </w:r>
          </w:p>
        </w:tc>
        <w:tc>
          <w:tcPr>
            <w:tcW w:w="2338" w:type="dxa"/>
          </w:tcPr>
          <w:p w14:paraId="1544E228" w14:textId="7F44CD48" w:rsidR="00054FD0" w:rsidRDefault="00054FD0" w:rsidP="00A76194">
            <w:pPr>
              <w:rPr>
                <w:sz w:val="24"/>
                <w:szCs w:val="24"/>
              </w:rPr>
            </w:pPr>
            <w:r>
              <w:rPr>
                <w:sz w:val="24"/>
                <w:szCs w:val="24"/>
              </w:rPr>
              <w:t>Hi and Lo (12 Month)</w:t>
            </w:r>
          </w:p>
        </w:tc>
        <w:tc>
          <w:tcPr>
            <w:tcW w:w="2338" w:type="dxa"/>
          </w:tcPr>
          <w:p w14:paraId="0EA4DC92" w14:textId="3C2E00D5" w:rsidR="00054FD0" w:rsidRDefault="00054FD0" w:rsidP="00A76194">
            <w:pPr>
              <w:rPr>
                <w:sz w:val="24"/>
                <w:szCs w:val="24"/>
              </w:rPr>
            </w:pPr>
            <w:r>
              <w:rPr>
                <w:sz w:val="24"/>
                <w:szCs w:val="24"/>
              </w:rPr>
              <w:t>$5.68 and $5.15</w:t>
            </w:r>
          </w:p>
        </w:tc>
      </w:tr>
      <w:tr w:rsidR="00054FD0" w14:paraId="7F172353" w14:textId="77777777" w:rsidTr="00AA530D">
        <w:tc>
          <w:tcPr>
            <w:tcW w:w="2337" w:type="dxa"/>
          </w:tcPr>
          <w:p w14:paraId="6D4432FA" w14:textId="3BC0DA62" w:rsidR="00054FD0" w:rsidRPr="00054FD0" w:rsidRDefault="00054FD0" w:rsidP="00A76194">
            <w:pPr>
              <w:rPr>
                <w:b/>
                <w:bCs/>
                <w:sz w:val="24"/>
                <w:szCs w:val="24"/>
              </w:rPr>
            </w:pPr>
            <w:r w:rsidRPr="00054FD0">
              <w:rPr>
                <w:b/>
                <w:bCs/>
                <w:sz w:val="24"/>
                <w:szCs w:val="24"/>
              </w:rPr>
              <w:t>Analysts Rating</w:t>
            </w:r>
          </w:p>
        </w:tc>
        <w:tc>
          <w:tcPr>
            <w:tcW w:w="2337" w:type="dxa"/>
          </w:tcPr>
          <w:p w14:paraId="6C648CA4" w14:textId="77777777" w:rsidR="00054FD0" w:rsidRDefault="00054FD0" w:rsidP="00A76194">
            <w:pPr>
              <w:rPr>
                <w:sz w:val="24"/>
                <w:szCs w:val="24"/>
              </w:rPr>
            </w:pPr>
          </w:p>
        </w:tc>
        <w:tc>
          <w:tcPr>
            <w:tcW w:w="2338" w:type="dxa"/>
          </w:tcPr>
          <w:p w14:paraId="6874581A" w14:textId="77777777" w:rsidR="00054FD0" w:rsidRDefault="00054FD0" w:rsidP="00A76194">
            <w:pPr>
              <w:rPr>
                <w:sz w:val="24"/>
                <w:szCs w:val="24"/>
              </w:rPr>
            </w:pPr>
          </w:p>
        </w:tc>
        <w:tc>
          <w:tcPr>
            <w:tcW w:w="2338" w:type="dxa"/>
          </w:tcPr>
          <w:p w14:paraId="5264C645" w14:textId="77777777" w:rsidR="00054FD0" w:rsidRDefault="00054FD0" w:rsidP="00A76194">
            <w:pPr>
              <w:rPr>
                <w:sz w:val="24"/>
                <w:szCs w:val="24"/>
              </w:rPr>
            </w:pPr>
          </w:p>
        </w:tc>
      </w:tr>
      <w:tr w:rsidR="00054FD0" w14:paraId="1D03AD8C" w14:textId="77777777" w:rsidTr="00AA530D">
        <w:tc>
          <w:tcPr>
            <w:tcW w:w="2337" w:type="dxa"/>
          </w:tcPr>
          <w:p w14:paraId="35B31453" w14:textId="7D549B36" w:rsidR="00054FD0" w:rsidRDefault="00054FD0" w:rsidP="00A76194">
            <w:pPr>
              <w:rPr>
                <w:sz w:val="24"/>
                <w:szCs w:val="24"/>
              </w:rPr>
            </w:pPr>
            <w:r>
              <w:rPr>
                <w:sz w:val="24"/>
                <w:szCs w:val="24"/>
              </w:rPr>
              <w:t>JLL</w:t>
            </w:r>
          </w:p>
        </w:tc>
        <w:tc>
          <w:tcPr>
            <w:tcW w:w="2337" w:type="dxa"/>
          </w:tcPr>
          <w:p w14:paraId="321F80A8" w14:textId="0805976D" w:rsidR="00054FD0" w:rsidRDefault="00F30186" w:rsidP="00A76194">
            <w:pPr>
              <w:rPr>
                <w:sz w:val="24"/>
                <w:szCs w:val="24"/>
              </w:rPr>
            </w:pPr>
            <w:r>
              <w:rPr>
                <w:sz w:val="24"/>
                <w:szCs w:val="24"/>
              </w:rPr>
              <w:t>Buy</w:t>
            </w:r>
          </w:p>
        </w:tc>
        <w:tc>
          <w:tcPr>
            <w:tcW w:w="2338" w:type="dxa"/>
          </w:tcPr>
          <w:p w14:paraId="7D9771F6" w14:textId="68CE8B09" w:rsidR="00054FD0" w:rsidRDefault="00054FD0" w:rsidP="00A76194">
            <w:pPr>
              <w:rPr>
                <w:sz w:val="24"/>
                <w:szCs w:val="24"/>
              </w:rPr>
            </w:pPr>
            <w:r>
              <w:rPr>
                <w:sz w:val="24"/>
                <w:szCs w:val="24"/>
              </w:rPr>
              <w:t>CoStar</w:t>
            </w:r>
          </w:p>
        </w:tc>
        <w:tc>
          <w:tcPr>
            <w:tcW w:w="2338" w:type="dxa"/>
          </w:tcPr>
          <w:p w14:paraId="35FBEEC4" w14:textId="3B76C24B" w:rsidR="00054FD0" w:rsidRDefault="00F30186" w:rsidP="00A76194">
            <w:pPr>
              <w:rPr>
                <w:sz w:val="24"/>
                <w:szCs w:val="24"/>
              </w:rPr>
            </w:pPr>
            <w:r>
              <w:rPr>
                <w:sz w:val="24"/>
                <w:szCs w:val="24"/>
              </w:rPr>
              <w:t>Hold</w:t>
            </w:r>
          </w:p>
        </w:tc>
      </w:tr>
      <w:tr w:rsidR="00054FD0" w14:paraId="0ACDDC10" w14:textId="77777777" w:rsidTr="00AA530D">
        <w:tc>
          <w:tcPr>
            <w:tcW w:w="2337" w:type="dxa"/>
          </w:tcPr>
          <w:p w14:paraId="31258D41" w14:textId="5A97ED16" w:rsidR="00054FD0" w:rsidRDefault="00054FD0" w:rsidP="00A76194">
            <w:pPr>
              <w:rPr>
                <w:sz w:val="24"/>
                <w:szCs w:val="24"/>
              </w:rPr>
            </w:pPr>
            <w:r>
              <w:rPr>
                <w:sz w:val="24"/>
                <w:szCs w:val="24"/>
              </w:rPr>
              <w:t>CBRE</w:t>
            </w:r>
          </w:p>
        </w:tc>
        <w:tc>
          <w:tcPr>
            <w:tcW w:w="2337" w:type="dxa"/>
          </w:tcPr>
          <w:p w14:paraId="08A8D5B3" w14:textId="2FB0B9C7" w:rsidR="00054FD0" w:rsidRDefault="00F30186" w:rsidP="00A76194">
            <w:pPr>
              <w:rPr>
                <w:sz w:val="24"/>
                <w:szCs w:val="24"/>
              </w:rPr>
            </w:pPr>
            <w:r>
              <w:rPr>
                <w:sz w:val="24"/>
                <w:szCs w:val="24"/>
              </w:rPr>
              <w:t>Buy</w:t>
            </w:r>
          </w:p>
        </w:tc>
        <w:tc>
          <w:tcPr>
            <w:tcW w:w="2338" w:type="dxa"/>
          </w:tcPr>
          <w:p w14:paraId="501AFAC2" w14:textId="459782C1" w:rsidR="00054FD0" w:rsidRDefault="00054FD0" w:rsidP="00A76194">
            <w:pPr>
              <w:rPr>
                <w:sz w:val="24"/>
                <w:szCs w:val="24"/>
              </w:rPr>
            </w:pPr>
            <w:r>
              <w:rPr>
                <w:sz w:val="24"/>
                <w:szCs w:val="24"/>
              </w:rPr>
              <w:t>MSCI</w:t>
            </w:r>
          </w:p>
        </w:tc>
        <w:tc>
          <w:tcPr>
            <w:tcW w:w="2338" w:type="dxa"/>
          </w:tcPr>
          <w:p w14:paraId="3612D04D" w14:textId="1AF1CBE2" w:rsidR="00054FD0" w:rsidRDefault="00F30186" w:rsidP="00A76194">
            <w:pPr>
              <w:rPr>
                <w:sz w:val="24"/>
                <w:szCs w:val="24"/>
              </w:rPr>
            </w:pPr>
            <w:r>
              <w:rPr>
                <w:sz w:val="24"/>
                <w:szCs w:val="24"/>
              </w:rPr>
              <w:t>Hold</w:t>
            </w:r>
          </w:p>
        </w:tc>
      </w:tr>
      <w:tr w:rsidR="00054FD0" w14:paraId="7DD29339" w14:textId="77777777" w:rsidTr="00AA530D">
        <w:tc>
          <w:tcPr>
            <w:tcW w:w="2337" w:type="dxa"/>
          </w:tcPr>
          <w:p w14:paraId="16800D3C" w14:textId="7348F455" w:rsidR="00054FD0" w:rsidRDefault="00054FD0" w:rsidP="00A76194">
            <w:pPr>
              <w:rPr>
                <w:sz w:val="24"/>
                <w:szCs w:val="24"/>
              </w:rPr>
            </w:pPr>
            <w:r>
              <w:rPr>
                <w:sz w:val="24"/>
                <w:szCs w:val="24"/>
              </w:rPr>
              <w:t>CW</w:t>
            </w:r>
          </w:p>
        </w:tc>
        <w:tc>
          <w:tcPr>
            <w:tcW w:w="2337" w:type="dxa"/>
          </w:tcPr>
          <w:p w14:paraId="49886BD9" w14:textId="6A559CA4" w:rsidR="00054FD0" w:rsidRDefault="00F30186" w:rsidP="00A76194">
            <w:pPr>
              <w:rPr>
                <w:sz w:val="24"/>
                <w:szCs w:val="24"/>
              </w:rPr>
            </w:pPr>
            <w:r>
              <w:rPr>
                <w:sz w:val="24"/>
                <w:szCs w:val="24"/>
              </w:rPr>
              <w:t>Buy</w:t>
            </w:r>
          </w:p>
        </w:tc>
        <w:tc>
          <w:tcPr>
            <w:tcW w:w="2338" w:type="dxa"/>
          </w:tcPr>
          <w:p w14:paraId="119E2E64" w14:textId="125984E2" w:rsidR="00054FD0" w:rsidRDefault="00F30186" w:rsidP="00A76194">
            <w:pPr>
              <w:rPr>
                <w:sz w:val="24"/>
                <w:szCs w:val="24"/>
              </w:rPr>
            </w:pPr>
            <w:r>
              <w:rPr>
                <w:sz w:val="24"/>
                <w:szCs w:val="24"/>
              </w:rPr>
              <w:t>Moody’s</w:t>
            </w:r>
          </w:p>
        </w:tc>
        <w:tc>
          <w:tcPr>
            <w:tcW w:w="2338" w:type="dxa"/>
          </w:tcPr>
          <w:p w14:paraId="7C665B89" w14:textId="030DD155" w:rsidR="00054FD0" w:rsidRDefault="00F30186" w:rsidP="00A76194">
            <w:pPr>
              <w:rPr>
                <w:sz w:val="24"/>
                <w:szCs w:val="24"/>
              </w:rPr>
            </w:pPr>
            <w:r>
              <w:rPr>
                <w:sz w:val="24"/>
                <w:szCs w:val="24"/>
              </w:rPr>
              <w:t>Sell</w:t>
            </w:r>
          </w:p>
        </w:tc>
      </w:tr>
      <w:tr w:rsidR="00054FD0" w14:paraId="3C62ABC6" w14:textId="77777777" w:rsidTr="00AA530D">
        <w:tc>
          <w:tcPr>
            <w:tcW w:w="2337" w:type="dxa"/>
          </w:tcPr>
          <w:p w14:paraId="1266E6AC" w14:textId="3B9CA082" w:rsidR="00054FD0" w:rsidRDefault="00054FD0" w:rsidP="00A76194">
            <w:pPr>
              <w:rPr>
                <w:sz w:val="24"/>
                <w:szCs w:val="24"/>
              </w:rPr>
            </w:pPr>
            <w:r>
              <w:rPr>
                <w:sz w:val="24"/>
                <w:szCs w:val="24"/>
              </w:rPr>
              <w:t>Colliers</w:t>
            </w:r>
          </w:p>
        </w:tc>
        <w:tc>
          <w:tcPr>
            <w:tcW w:w="2337" w:type="dxa"/>
          </w:tcPr>
          <w:p w14:paraId="10AC1CCB" w14:textId="4A2F4DDC" w:rsidR="00054FD0" w:rsidRDefault="00F30186" w:rsidP="00A76194">
            <w:pPr>
              <w:rPr>
                <w:sz w:val="24"/>
                <w:szCs w:val="24"/>
              </w:rPr>
            </w:pPr>
            <w:r>
              <w:rPr>
                <w:sz w:val="24"/>
                <w:szCs w:val="24"/>
              </w:rPr>
              <w:t>Hold</w:t>
            </w:r>
          </w:p>
        </w:tc>
        <w:tc>
          <w:tcPr>
            <w:tcW w:w="2338" w:type="dxa"/>
          </w:tcPr>
          <w:p w14:paraId="35D95616" w14:textId="0FC6BBC8" w:rsidR="00054FD0" w:rsidRDefault="00F30186" w:rsidP="00A76194">
            <w:pPr>
              <w:rPr>
                <w:sz w:val="24"/>
                <w:szCs w:val="24"/>
              </w:rPr>
            </w:pPr>
            <w:r>
              <w:rPr>
                <w:sz w:val="24"/>
                <w:szCs w:val="24"/>
              </w:rPr>
              <w:t>RealFoundations</w:t>
            </w:r>
          </w:p>
        </w:tc>
        <w:tc>
          <w:tcPr>
            <w:tcW w:w="2338" w:type="dxa"/>
          </w:tcPr>
          <w:p w14:paraId="6DC868A0" w14:textId="185562C5" w:rsidR="00054FD0" w:rsidRDefault="00F30186" w:rsidP="00A76194">
            <w:pPr>
              <w:rPr>
                <w:sz w:val="24"/>
                <w:szCs w:val="24"/>
              </w:rPr>
            </w:pPr>
            <w:r>
              <w:rPr>
                <w:sz w:val="24"/>
                <w:szCs w:val="24"/>
              </w:rPr>
              <w:t>Hold</w:t>
            </w:r>
          </w:p>
        </w:tc>
      </w:tr>
    </w:tbl>
    <w:p w14:paraId="6A29BB8A" w14:textId="77777777" w:rsidR="00AA530D" w:rsidRDefault="00AA530D" w:rsidP="00A76194">
      <w:pPr>
        <w:rPr>
          <w:sz w:val="24"/>
          <w:szCs w:val="24"/>
        </w:rPr>
      </w:pPr>
    </w:p>
    <w:p w14:paraId="2F248DB0" w14:textId="6B7B0CDA" w:rsidR="00F30186" w:rsidRDefault="00F30186" w:rsidP="00A76194">
      <w:pPr>
        <w:rPr>
          <w:sz w:val="24"/>
          <w:szCs w:val="24"/>
        </w:rPr>
      </w:pPr>
      <w:r>
        <w:rPr>
          <w:sz w:val="24"/>
          <w:szCs w:val="24"/>
        </w:rPr>
        <w:t>When will such a display of information become available?  Hopefully within five years.  The triggers will be the size of the offerings</w:t>
      </w:r>
      <w:r w:rsidR="00D023A9">
        <w:rPr>
          <w:sz w:val="24"/>
          <w:szCs w:val="24"/>
        </w:rPr>
        <w:t xml:space="preserve"> and the quality of information provided by sponsors</w:t>
      </w:r>
      <w:r>
        <w:rPr>
          <w:sz w:val="24"/>
          <w:szCs w:val="24"/>
        </w:rPr>
        <w:t xml:space="preserve">. When enough token funds exceed one billion </w:t>
      </w:r>
      <w:r w:rsidR="00D023A9">
        <w:rPr>
          <w:sz w:val="24"/>
          <w:szCs w:val="24"/>
        </w:rPr>
        <w:t xml:space="preserve">US </w:t>
      </w:r>
      <w:r>
        <w:rPr>
          <w:sz w:val="24"/>
          <w:szCs w:val="24"/>
        </w:rPr>
        <w:t xml:space="preserve">dollars or some of the super-token funds exceed one trillion </w:t>
      </w:r>
      <w:r w:rsidR="00D023A9">
        <w:rPr>
          <w:sz w:val="24"/>
          <w:szCs w:val="24"/>
        </w:rPr>
        <w:t xml:space="preserve">US </w:t>
      </w:r>
      <w:r>
        <w:rPr>
          <w:sz w:val="24"/>
          <w:szCs w:val="24"/>
        </w:rPr>
        <w:t>dollars there is no question that such information will be required by the market.  A key transformative moment will be when a major player like Blackstone, that raised $30.4 Billion US</w:t>
      </w:r>
      <w:r w:rsidR="00D023A9">
        <w:rPr>
          <w:sz w:val="24"/>
          <w:szCs w:val="24"/>
        </w:rPr>
        <w:t>D</w:t>
      </w:r>
      <w:r>
        <w:rPr>
          <w:sz w:val="24"/>
          <w:szCs w:val="24"/>
        </w:rPr>
        <w:t xml:space="preserve"> recently for real estate </w:t>
      </w:r>
      <w:r w:rsidR="00D023A9">
        <w:rPr>
          <w:sz w:val="24"/>
          <w:szCs w:val="24"/>
        </w:rPr>
        <w:t xml:space="preserve">investments </w:t>
      </w:r>
      <w:r>
        <w:rPr>
          <w:sz w:val="24"/>
          <w:szCs w:val="24"/>
        </w:rPr>
        <w:t xml:space="preserve">allows investors to take tokens as a form of ownership.  If even one fifth agreed </w:t>
      </w:r>
      <w:r w:rsidR="00D023A9">
        <w:rPr>
          <w:sz w:val="24"/>
          <w:szCs w:val="24"/>
        </w:rPr>
        <w:t xml:space="preserve">to accept tokens as the format of ownership, </w:t>
      </w:r>
      <w:r>
        <w:rPr>
          <w:sz w:val="24"/>
          <w:szCs w:val="24"/>
        </w:rPr>
        <w:t xml:space="preserve">that would instantly lay $6 billion </w:t>
      </w:r>
      <w:r w:rsidR="00D023A9">
        <w:rPr>
          <w:sz w:val="24"/>
          <w:szCs w:val="24"/>
        </w:rPr>
        <w:t xml:space="preserve">USD </w:t>
      </w:r>
      <w:r>
        <w:rPr>
          <w:sz w:val="24"/>
          <w:szCs w:val="24"/>
        </w:rPr>
        <w:t xml:space="preserve">on the market in tokens, several times what now exists.  </w:t>
      </w:r>
    </w:p>
    <w:p w14:paraId="3EF8AE9E" w14:textId="6042A8D1" w:rsidR="00AA530D" w:rsidRDefault="00F30186" w:rsidP="00A76194">
      <w:pPr>
        <w:rPr>
          <w:sz w:val="24"/>
          <w:szCs w:val="24"/>
        </w:rPr>
      </w:pPr>
      <w:r>
        <w:rPr>
          <w:sz w:val="24"/>
          <w:szCs w:val="24"/>
        </w:rPr>
        <w:t>Real estate tokenization 3.0 will</w:t>
      </w:r>
      <w:r w:rsidR="00D023A9">
        <w:rPr>
          <w:sz w:val="24"/>
          <w:szCs w:val="24"/>
        </w:rPr>
        <w:t xml:space="preserve"> arrive</w:t>
      </w:r>
      <w:r>
        <w:rPr>
          <w:sz w:val="24"/>
          <w:szCs w:val="24"/>
        </w:rPr>
        <w:t xml:space="preserve"> when we have not only bid and asks, but enough volume to allow short selling. </w:t>
      </w:r>
      <w:r w:rsidR="00942D2A">
        <w:rPr>
          <w:sz w:val="24"/>
          <w:szCs w:val="24"/>
        </w:rPr>
        <w:t xml:space="preserve"> This would be transformative for the private side of real estate and the public and private sectors would mor</w:t>
      </w:r>
      <w:r w:rsidR="00D023A9">
        <w:rPr>
          <w:sz w:val="24"/>
          <w:szCs w:val="24"/>
        </w:rPr>
        <w:t>ph</w:t>
      </w:r>
      <w:r w:rsidR="00942D2A">
        <w:rPr>
          <w:sz w:val="24"/>
          <w:szCs w:val="24"/>
        </w:rPr>
        <w:t xml:space="preserve"> into singularity.  </w:t>
      </w:r>
      <w:r>
        <w:rPr>
          <w:sz w:val="24"/>
          <w:szCs w:val="24"/>
        </w:rPr>
        <w:t xml:space="preserve"> </w:t>
      </w:r>
    </w:p>
    <w:p w14:paraId="22B2974A" w14:textId="4C8824B7" w:rsidR="00942D2A" w:rsidRDefault="00942D2A" w:rsidP="00A76194">
      <w:pPr>
        <w:rPr>
          <w:sz w:val="24"/>
          <w:szCs w:val="24"/>
        </w:rPr>
      </w:pPr>
      <w:r>
        <w:rPr>
          <w:sz w:val="24"/>
          <w:szCs w:val="24"/>
        </w:rPr>
        <w:t xml:space="preserve">Real estate tokenization 3.0 </w:t>
      </w:r>
      <w:r w:rsidR="00D023A9">
        <w:rPr>
          <w:sz w:val="24"/>
          <w:szCs w:val="24"/>
        </w:rPr>
        <w:t>could</w:t>
      </w:r>
      <w:r>
        <w:rPr>
          <w:sz w:val="24"/>
          <w:szCs w:val="24"/>
        </w:rPr>
        <w:t xml:space="preserve"> also include tranches. Imagine the fund above, now allowing for investors to choose among four products</w:t>
      </w:r>
      <w:r w:rsidR="00D023A9">
        <w:rPr>
          <w:sz w:val="24"/>
          <w:szCs w:val="24"/>
        </w:rPr>
        <w:t>, as shown below.  Each would have a bid and an ask. In fact, a good financial engineer, by matching investor preferences with products, can easily create a total sum of tranche values that exceeds the aggregate NAV by a few percent.  When working with a one-billion-dollar fund, that is an instant $2 million in value creation.</w:t>
      </w:r>
    </w:p>
    <w:tbl>
      <w:tblPr>
        <w:tblStyle w:val="TableGrid"/>
        <w:tblW w:w="0" w:type="auto"/>
        <w:tblInd w:w="1885" w:type="dxa"/>
        <w:tblLook w:val="04A0" w:firstRow="1" w:lastRow="0" w:firstColumn="1" w:lastColumn="0" w:noHBand="0" w:noVBand="1"/>
      </w:tblPr>
      <w:tblGrid>
        <w:gridCol w:w="2180"/>
        <w:gridCol w:w="2835"/>
        <w:gridCol w:w="1915"/>
      </w:tblGrid>
      <w:tr w:rsidR="00A31B63" w14:paraId="03C6C558" w14:textId="7C7A2738" w:rsidTr="00A31B63">
        <w:tc>
          <w:tcPr>
            <w:tcW w:w="2180" w:type="dxa"/>
          </w:tcPr>
          <w:p w14:paraId="60919EB0" w14:textId="69989109" w:rsidR="00A31B63" w:rsidRDefault="00A31B63" w:rsidP="00A76194">
            <w:pPr>
              <w:rPr>
                <w:sz w:val="24"/>
                <w:szCs w:val="24"/>
              </w:rPr>
            </w:pPr>
            <w:r>
              <w:rPr>
                <w:sz w:val="24"/>
                <w:szCs w:val="24"/>
              </w:rPr>
              <w:lastRenderedPageBreak/>
              <w:t>HBDF20 Tranche C</w:t>
            </w:r>
          </w:p>
        </w:tc>
        <w:tc>
          <w:tcPr>
            <w:tcW w:w="2835" w:type="dxa"/>
          </w:tcPr>
          <w:p w14:paraId="4D81B342" w14:textId="01B46338" w:rsidR="00A31B63" w:rsidRDefault="00A31B63" w:rsidP="00A76194">
            <w:pPr>
              <w:rPr>
                <w:sz w:val="24"/>
                <w:szCs w:val="24"/>
              </w:rPr>
            </w:pPr>
            <w:r>
              <w:rPr>
                <w:sz w:val="24"/>
                <w:szCs w:val="24"/>
              </w:rPr>
              <w:t>Cash flow and taxable income pass through only with no residual value</w:t>
            </w:r>
          </w:p>
        </w:tc>
        <w:tc>
          <w:tcPr>
            <w:tcW w:w="1915" w:type="dxa"/>
          </w:tcPr>
          <w:p w14:paraId="753F807C" w14:textId="2A9A5FF0" w:rsidR="00A31B63" w:rsidRDefault="00A31B63" w:rsidP="00A76194">
            <w:pPr>
              <w:rPr>
                <w:sz w:val="24"/>
                <w:szCs w:val="24"/>
              </w:rPr>
            </w:pPr>
            <w:r>
              <w:rPr>
                <w:sz w:val="24"/>
                <w:szCs w:val="24"/>
              </w:rPr>
              <w:t>Current Yield = 5.5%</w:t>
            </w:r>
          </w:p>
        </w:tc>
      </w:tr>
      <w:tr w:rsidR="00A31B63" w14:paraId="4E2B8D1A" w14:textId="6E99243A" w:rsidTr="00A31B63">
        <w:tc>
          <w:tcPr>
            <w:tcW w:w="2180" w:type="dxa"/>
          </w:tcPr>
          <w:p w14:paraId="7B8D76B0" w14:textId="21643916" w:rsidR="00A31B63" w:rsidRDefault="00A31B63" w:rsidP="00A76194">
            <w:pPr>
              <w:rPr>
                <w:sz w:val="24"/>
                <w:szCs w:val="24"/>
              </w:rPr>
            </w:pPr>
            <w:r>
              <w:rPr>
                <w:sz w:val="24"/>
                <w:szCs w:val="24"/>
              </w:rPr>
              <w:t>HBDF20 Tranche Z</w:t>
            </w:r>
          </w:p>
        </w:tc>
        <w:tc>
          <w:tcPr>
            <w:tcW w:w="2835" w:type="dxa"/>
          </w:tcPr>
          <w:p w14:paraId="7D0F4734" w14:textId="5FE67D52" w:rsidR="00A31B63" w:rsidRDefault="00A31B63" w:rsidP="00A76194">
            <w:pPr>
              <w:rPr>
                <w:sz w:val="24"/>
                <w:szCs w:val="24"/>
              </w:rPr>
            </w:pPr>
            <w:r>
              <w:rPr>
                <w:sz w:val="24"/>
                <w:szCs w:val="24"/>
              </w:rPr>
              <w:t>Residual value based on a sale between year 8 and no later than year 10</w:t>
            </w:r>
          </w:p>
        </w:tc>
        <w:tc>
          <w:tcPr>
            <w:tcW w:w="1915" w:type="dxa"/>
          </w:tcPr>
          <w:p w14:paraId="040FC520" w14:textId="56A1910D" w:rsidR="00A31B63" w:rsidRDefault="00A31B63" w:rsidP="00A76194">
            <w:pPr>
              <w:rPr>
                <w:sz w:val="24"/>
                <w:szCs w:val="24"/>
              </w:rPr>
            </w:pPr>
            <w:r>
              <w:rPr>
                <w:sz w:val="24"/>
                <w:szCs w:val="24"/>
              </w:rPr>
              <w:t>Expected Yield = 7.5%</w:t>
            </w:r>
          </w:p>
        </w:tc>
      </w:tr>
      <w:tr w:rsidR="00A31B63" w14:paraId="2292BBC8" w14:textId="04FA8F75" w:rsidTr="00A31B63">
        <w:tc>
          <w:tcPr>
            <w:tcW w:w="2180" w:type="dxa"/>
          </w:tcPr>
          <w:p w14:paraId="77D0F7FB" w14:textId="6871C5E2" w:rsidR="00A31B63" w:rsidRDefault="00A31B63" w:rsidP="00A76194">
            <w:pPr>
              <w:rPr>
                <w:sz w:val="24"/>
                <w:szCs w:val="24"/>
              </w:rPr>
            </w:pPr>
            <w:r>
              <w:rPr>
                <w:sz w:val="24"/>
                <w:szCs w:val="24"/>
              </w:rPr>
              <w:t>HBDF20 Tranche M</w:t>
            </w:r>
          </w:p>
        </w:tc>
        <w:tc>
          <w:tcPr>
            <w:tcW w:w="2835" w:type="dxa"/>
          </w:tcPr>
          <w:p w14:paraId="26C65AB6" w14:textId="2A1AFFEF" w:rsidR="00A31B63" w:rsidRDefault="00A31B63" w:rsidP="00A76194">
            <w:pPr>
              <w:rPr>
                <w:sz w:val="24"/>
                <w:szCs w:val="24"/>
              </w:rPr>
            </w:pPr>
            <w:r>
              <w:rPr>
                <w:sz w:val="24"/>
                <w:szCs w:val="24"/>
              </w:rPr>
              <w:t>Preferential dividend mezzanine piece at 5%</w:t>
            </w:r>
          </w:p>
        </w:tc>
        <w:tc>
          <w:tcPr>
            <w:tcW w:w="1915" w:type="dxa"/>
          </w:tcPr>
          <w:p w14:paraId="1B5E2850" w14:textId="4C1BB6B1" w:rsidR="00A31B63" w:rsidRDefault="00A31B63" w:rsidP="00A76194">
            <w:pPr>
              <w:rPr>
                <w:sz w:val="24"/>
                <w:szCs w:val="24"/>
              </w:rPr>
            </w:pPr>
            <w:r>
              <w:rPr>
                <w:sz w:val="24"/>
                <w:szCs w:val="24"/>
              </w:rPr>
              <w:t>Expected Yield = 5%</w:t>
            </w:r>
          </w:p>
        </w:tc>
      </w:tr>
      <w:tr w:rsidR="00A31B63" w14:paraId="6FC50170" w14:textId="4B115C75" w:rsidTr="00A31B63">
        <w:tc>
          <w:tcPr>
            <w:tcW w:w="2180" w:type="dxa"/>
          </w:tcPr>
          <w:p w14:paraId="723A9BF4" w14:textId="6E8BF4B9" w:rsidR="00A31B63" w:rsidRDefault="00A31B63" w:rsidP="00A76194">
            <w:pPr>
              <w:rPr>
                <w:sz w:val="24"/>
                <w:szCs w:val="24"/>
              </w:rPr>
            </w:pPr>
            <w:r>
              <w:rPr>
                <w:sz w:val="24"/>
                <w:szCs w:val="24"/>
              </w:rPr>
              <w:t>HBDF20 Tranche W</w:t>
            </w:r>
          </w:p>
        </w:tc>
        <w:tc>
          <w:tcPr>
            <w:tcW w:w="2835" w:type="dxa"/>
          </w:tcPr>
          <w:p w14:paraId="4D7DD79A" w14:textId="5235E344" w:rsidR="00A31B63" w:rsidRDefault="00A31B63" w:rsidP="00A76194">
            <w:pPr>
              <w:rPr>
                <w:sz w:val="24"/>
                <w:szCs w:val="24"/>
              </w:rPr>
            </w:pPr>
            <w:r>
              <w:rPr>
                <w:sz w:val="24"/>
                <w:szCs w:val="24"/>
              </w:rPr>
              <w:t>All cash flows and returns on the equity portion after the mezz piece.</w:t>
            </w:r>
          </w:p>
        </w:tc>
        <w:tc>
          <w:tcPr>
            <w:tcW w:w="1915" w:type="dxa"/>
          </w:tcPr>
          <w:p w14:paraId="7414C6D9" w14:textId="51F0975F" w:rsidR="00A31B63" w:rsidRDefault="00A31B63" w:rsidP="00A76194">
            <w:pPr>
              <w:rPr>
                <w:sz w:val="24"/>
                <w:szCs w:val="24"/>
              </w:rPr>
            </w:pPr>
            <w:r>
              <w:rPr>
                <w:sz w:val="24"/>
                <w:szCs w:val="24"/>
              </w:rPr>
              <w:t>Expected Yield = 6.5%</w:t>
            </w:r>
          </w:p>
        </w:tc>
      </w:tr>
    </w:tbl>
    <w:p w14:paraId="1A1BB1BA" w14:textId="77777777" w:rsidR="00942D2A" w:rsidRDefault="00942D2A" w:rsidP="00A76194">
      <w:pPr>
        <w:rPr>
          <w:sz w:val="24"/>
          <w:szCs w:val="24"/>
        </w:rPr>
      </w:pPr>
    </w:p>
    <w:p w14:paraId="1271E5AF" w14:textId="2CC56A66" w:rsidR="00942D2A" w:rsidRPr="00942D2A" w:rsidRDefault="00942D2A" w:rsidP="00A76194">
      <w:pPr>
        <w:rPr>
          <w:b/>
          <w:bCs/>
          <w:sz w:val="24"/>
          <w:szCs w:val="24"/>
        </w:rPr>
      </w:pPr>
      <w:r w:rsidRPr="00942D2A">
        <w:rPr>
          <w:b/>
          <w:bCs/>
          <w:sz w:val="24"/>
          <w:szCs w:val="24"/>
        </w:rPr>
        <w:t>Conclusions</w:t>
      </w:r>
    </w:p>
    <w:p w14:paraId="1D59BB01" w14:textId="2695C3C4" w:rsidR="00942D2A" w:rsidRDefault="00942D2A" w:rsidP="00A76194">
      <w:pPr>
        <w:rPr>
          <w:sz w:val="24"/>
          <w:szCs w:val="24"/>
        </w:rPr>
      </w:pPr>
      <w:r>
        <w:rPr>
          <w:sz w:val="24"/>
          <w:szCs w:val="24"/>
        </w:rPr>
        <w:t xml:space="preserve">Blockchain is too valuable a tool not to exploit. Market transparency and transaction efficiencies now lacking in the private real estate market will be enhanced greatly by smart contracts and blockchain tracking.  Real estate tokenization may not provide significant new funding any more than crowdfunding has, but it could transform the private sector allowing for liquidity and more </w:t>
      </w:r>
      <w:r w:rsidR="00A31B63">
        <w:rPr>
          <w:sz w:val="24"/>
          <w:szCs w:val="24"/>
        </w:rPr>
        <w:t xml:space="preserve">informed and </w:t>
      </w:r>
      <w:r>
        <w:rPr>
          <w:sz w:val="24"/>
          <w:szCs w:val="24"/>
        </w:rPr>
        <w:t xml:space="preserve">efficient markets.  </w:t>
      </w:r>
    </w:p>
    <w:p w14:paraId="0BD5C865" w14:textId="77777777" w:rsidR="00A31B63" w:rsidRDefault="00A31B63" w:rsidP="00A76194">
      <w:pPr>
        <w:rPr>
          <w:sz w:val="24"/>
          <w:szCs w:val="24"/>
        </w:rPr>
      </w:pPr>
    </w:p>
    <w:p w14:paraId="2F62B854" w14:textId="77777777" w:rsidR="00A31B63" w:rsidRDefault="00A31B63" w:rsidP="00A76194">
      <w:pPr>
        <w:rPr>
          <w:sz w:val="24"/>
          <w:szCs w:val="24"/>
        </w:rPr>
      </w:pPr>
    </w:p>
    <w:p w14:paraId="15FCB7A2" w14:textId="77777777" w:rsidR="00A31B63" w:rsidRDefault="00A31B63" w:rsidP="00A76194">
      <w:pPr>
        <w:rPr>
          <w:sz w:val="24"/>
          <w:szCs w:val="24"/>
        </w:rPr>
      </w:pPr>
    </w:p>
    <w:p w14:paraId="561952F1" w14:textId="77777777" w:rsidR="00A31B63" w:rsidRDefault="00A31B63" w:rsidP="00A76194">
      <w:pPr>
        <w:rPr>
          <w:sz w:val="24"/>
          <w:szCs w:val="24"/>
        </w:rPr>
      </w:pPr>
    </w:p>
    <w:p w14:paraId="6C3F9742" w14:textId="422E96DD" w:rsidR="00A31B63" w:rsidRDefault="00A31B63" w:rsidP="00A76194">
      <w:pPr>
        <w:rPr>
          <w:sz w:val="24"/>
          <w:szCs w:val="24"/>
        </w:rPr>
      </w:pPr>
      <w:r>
        <w:rPr>
          <w:sz w:val="24"/>
          <w:szCs w:val="24"/>
        </w:rPr>
        <w:t xml:space="preserve">Norm Miller is an Emeritus Professor at the University of San Diego, the Vice President of the Hoyt Institute, a consultant and board member of several organizations.  Contact </w:t>
      </w:r>
      <w:hyperlink r:id="rId12" w:history="1">
        <w:r w:rsidRPr="00E61D5C">
          <w:rPr>
            <w:rStyle w:val="Hyperlink"/>
            <w:sz w:val="24"/>
            <w:szCs w:val="24"/>
          </w:rPr>
          <w:t>nmiller@sandiego.edu</w:t>
        </w:r>
      </w:hyperlink>
    </w:p>
    <w:p w14:paraId="064D8A4A" w14:textId="12AFDDC2" w:rsidR="00A31B63" w:rsidRDefault="00A31B63" w:rsidP="00A76194">
      <w:pPr>
        <w:rPr>
          <w:sz w:val="24"/>
          <w:szCs w:val="24"/>
        </w:rPr>
      </w:pPr>
      <w:r>
        <w:rPr>
          <w:noProof/>
          <w:sz w:val="24"/>
          <w:szCs w:val="24"/>
        </w:rPr>
        <w:drawing>
          <wp:inline distT="0" distB="0" distL="0" distR="0" wp14:anchorId="7FDB1013" wp14:editId="5509A2E3">
            <wp:extent cx="728472" cy="914400"/>
            <wp:effectExtent l="0" t="0" r="0" b="0"/>
            <wp:docPr id="2099089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08910" name="Picture 20990891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28472" cy="914400"/>
                    </a:xfrm>
                    <a:prstGeom prst="rect">
                      <a:avLst/>
                    </a:prstGeom>
                  </pic:spPr>
                </pic:pic>
              </a:graphicData>
            </a:graphic>
          </wp:inline>
        </w:drawing>
      </w:r>
    </w:p>
    <w:p w14:paraId="577C2F65" w14:textId="77777777" w:rsidR="00F30186" w:rsidRDefault="00F30186" w:rsidP="00A76194">
      <w:pPr>
        <w:rPr>
          <w:sz w:val="24"/>
          <w:szCs w:val="24"/>
        </w:rPr>
      </w:pPr>
    </w:p>
    <w:p w14:paraId="0CEA5A71" w14:textId="77777777" w:rsidR="00F30186" w:rsidRDefault="00F30186" w:rsidP="00A76194">
      <w:pPr>
        <w:rPr>
          <w:sz w:val="24"/>
          <w:szCs w:val="24"/>
        </w:rPr>
      </w:pPr>
    </w:p>
    <w:p w14:paraId="2B3AFB82" w14:textId="77777777" w:rsidR="00F30186" w:rsidRDefault="00F30186" w:rsidP="00A76194">
      <w:pPr>
        <w:rPr>
          <w:sz w:val="24"/>
          <w:szCs w:val="24"/>
        </w:rPr>
      </w:pPr>
    </w:p>
    <w:p w14:paraId="006CBB7F" w14:textId="77777777" w:rsidR="00F30186" w:rsidRDefault="00F30186" w:rsidP="00A76194">
      <w:pPr>
        <w:rPr>
          <w:sz w:val="24"/>
          <w:szCs w:val="24"/>
        </w:rPr>
      </w:pPr>
    </w:p>
    <w:p w14:paraId="496E36A4" w14:textId="77777777" w:rsidR="00F30186" w:rsidRDefault="00F30186" w:rsidP="00A76194">
      <w:pPr>
        <w:rPr>
          <w:sz w:val="24"/>
          <w:szCs w:val="24"/>
        </w:rPr>
      </w:pPr>
    </w:p>
    <w:p w14:paraId="368E98D0" w14:textId="77777777" w:rsidR="00A76194" w:rsidRPr="006A4200" w:rsidRDefault="00A76194" w:rsidP="00A76194">
      <w:pPr>
        <w:rPr>
          <w:sz w:val="24"/>
          <w:szCs w:val="24"/>
        </w:rPr>
      </w:pPr>
    </w:p>
    <w:p w14:paraId="17893457" w14:textId="77777777" w:rsidR="00A76194" w:rsidRPr="006A4200" w:rsidRDefault="00A76194" w:rsidP="00A76194">
      <w:pPr>
        <w:rPr>
          <w:sz w:val="24"/>
          <w:szCs w:val="24"/>
        </w:rPr>
      </w:pPr>
    </w:p>
    <w:p w14:paraId="05A999BE" w14:textId="77777777" w:rsidR="00A76194" w:rsidRPr="006A4200" w:rsidRDefault="00A76194" w:rsidP="00A76194">
      <w:pPr>
        <w:rPr>
          <w:sz w:val="24"/>
          <w:szCs w:val="24"/>
        </w:rPr>
      </w:pPr>
    </w:p>
    <w:p w14:paraId="567BC0F9" w14:textId="77777777" w:rsidR="00A76194" w:rsidRPr="006A4200" w:rsidRDefault="00A76194" w:rsidP="00A76194">
      <w:pPr>
        <w:rPr>
          <w:sz w:val="24"/>
          <w:szCs w:val="24"/>
        </w:rPr>
      </w:pPr>
    </w:p>
    <w:p w14:paraId="64A6FE13" w14:textId="77777777" w:rsidR="00A76194" w:rsidRPr="006A4200" w:rsidRDefault="00A76194">
      <w:pPr>
        <w:rPr>
          <w:sz w:val="24"/>
          <w:szCs w:val="24"/>
        </w:rPr>
      </w:pPr>
    </w:p>
    <w:p w14:paraId="756E1523" w14:textId="77777777" w:rsidR="00A76194" w:rsidRPr="006A4200" w:rsidRDefault="00A76194">
      <w:pPr>
        <w:rPr>
          <w:sz w:val="24"/>
          <w:szCs w:val="24"/>
        </w:rPr>
      </w:pPr>
    </w:p>
    <w:sectPr w:rsidR="00A76194" w:rsidRPr="006A42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48F"/>
    <w:rsid w:val="0001075C"/>
    <w:rsid w:val="00054FD0"/>
    <w:rsid w:val="001338EC"/>
    <w:rsid w:val="00184091"/>
    <w:rsid w:val="00281448"/>
    <w:rsid w:val="002C1987"/>
    <w:rsid w:val="002E7793"/>
    <w:rsid w:val="003877C8"/>
    <w:rsid w:val="003C2BDE"/>
    <w:rsid w:val="003C38F9"/>
    <w:rsid w:val="003E4B91"/>
    <w:rsid w:val="00496D70"/>
    <w:rsid w:val="004E4229"/>
    <w:rsid w:val="00560B3C"/>
    <w:rsid w:val="00612571"/>
    <w:rsid w:val="006A4200"/>
    <w:rsid w:val="00882022"/>
    <w:rsid w:val="00942D2A"/>
    <w:rsid w:val="00943033"/>
    <w:rsid w:val="00A31B63"/>
    <w:rsid w:val="00A62C78"/>
    <w:rsid w:val="00A76194"/>
    <w:rsid w:val="00AA530D"/>
    <w:rsid w:val="00B137AC"/>
    <w:rsid w:val="00B3539D"/>
    <w:rsid w:val="00D023A9"/>
    <w:rsid w:val="00D36913"/>
    <w:rsid w:val="00E85390"/>
    <w:rsid w:val="00EF460C"/>
    <w:rsid w:val="00F14FE9"/>
    <w:rsid w:val="00F30186"/>
    <w:rsid w:val="00F30324"/>
    <w:rsid w:val="00F73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D68AD"/>
  <w15:chartTrackingRefBased/>
  <w15:docId w15:val="{D4CA4C50-76F4-42EE-945A-1C52458E8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075C"/>
    <w:rPr>
      <w:color w:val="0563C1" w:themeColor="hyperlink"/>
      <w:u w:val="single"/>
    </w:rPr>
  </w:style>
  <w:style w:type="character" w:styleId="UnresolvedMention">
    <w:name w:val="Unresolved Mention"/>
    <w:basedOn w:val="DefaultParagraphFont"/>
    <w:uiPriority w:val="99"/>
    <w:semiHidden/>
    <w:unhideWhenUsed/>
    <w:rsid w:val="0001075C"/>
    <w:rPr>
      <w:color w:val="605E5C"/>
      <w:shd w:val="clear" w:color="auto" w:fill="E1DFDD"/>
    </w:rPr>
  </w:style>
  <w:style w:type="table" w:styleId="TableGrid">
    <w:name w:val="Table Grid"/>
    <w:basedOn w:val="TableNormal"/>
    <w:uiPriority w:val="39"/>
    <w:rsid w:val="00AA53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719173">
      <w:bodyDiv w:val="1"/>
      <w:marLeft w:val="0"/>
      <w:marRight w:val="0"/>
      <w:marTop w:val="0"/>
      <w:marBottom w:val="0"/>
      <w:divBdr>
        <w:top w:val="none" w:sz="0" w:space="0" w:color="auto"/>
        <w:left w:val="none" w:sz="0" w:space="0" w:color="auto"/>
        <w:bottom w:val="none" w:sz="0" w:space="0" w:color="auto"/>
        <w:right w:val="none" w:sz="0" w:space="0" w:color="auto"/>
      </w:divBdr>
      <w:divsChild>
        <w:div w:id="883636095">
          <w:marLeft w:val="0"/>
          <w:marRight w:val="0"/>
          <w:marTop w:val="0"/>
          <w:marBottom w:val="0"/>
          <w:divBdr>
            <w:top w:val="none" w:sz="0" w:space="0" w:color="auto"/>
            <w:left w:val="none" w:sz="0" w:space="0" w:color="auto"/>
            <w:bottom w:val="none" w:sz="0" w:space="0" w:color="auto"/>
            <w:right w:val="none" w:sz="0" w:space="0" w:color="auto"/>
          </w:divBdr>
          <w:divsChild>
            <w:div w:id="925461399">
              <w:marLeft w:val="0"/>
              <w:marRight w:val="0"/>
              <w:marTop w:val="0"/>
              <w:marBottom w:val="0"/>
              <w:divBdr>
                <w:top w:val="none" w:sz="0" w:space="0" w:color="auto"/>
                <w:left w:val="none" w:sz="0" w:space="0" w:color="auto"/>
                <w:bottom w:val="none" w:sz="0" w:space="0" w:color="auto"/>
                <w:right w:val="none" w:sz="0" w:space="0" w:color="auto"/>
              </w:divBdr>
            </w:div>
          </w:divsChild>
        </w:div>
        <w:div w:id="1608152891">
          <w:marLeft w:val="0"/>
          <w:marRight w:val="0"/>
          <w:marTop w:val="0"/>
          <w:marBottom w:val="0"/>
          <w:divBdr>
            <w:top w:val="none" w:sz="0" w:space="0" w:color="auto"/>
            <w:left w:val="none" w:sz="0" w:space="0" w:color="auto"/>
            <w:bottom w:val="none" w:sz="0" w:space="0" w:color="auto"/>
            <w:right w:val="none" w:sz="0" w:space="0" w:color="auto"/>
          </w:divBdr>
          <w:divsChild>
            <w:div w:id="592738335">
              <w:marLeft w:val="0"/>
              <w:marRight w:val="0"/>
              <w:marTop w:val="0"/>
              <w:marBottom w:val="0"/>
              <w:divBdr>
                <w:top w:val="none" w:sz="0" w:space="0" w:color="auto"/>
                <w:left w:val="none" w:sz="0" w:space="0" w:color="auto"/>
                <w:bottom w:val="none" w:sz="0" w:space="0" w:color="auto"/>
                <w:right w:val="none" w:sz="0" w:space="0" w:color="auto"/>
              </w:divBdr>
              <w:divsChild>
                <w:div w:id="1530800054">
                  <w:marLeft w:val="0"/>
                  <w:marRight w:val="0"/>
                  <w:marTop w:val="0"/>
                  <w:marBottom w:val="0"/>
                  <w:divBdr>
                    <w:top w:val="none" w:sz="0" w:space="0" w:color="auto"/>
                    <w:left w:val="none" w:sz="0" w:space="0" w:color="auto"/>
                    <w:bottom w:val="none" w:sz="0" w:space="0" w:color="auto"/>
                    <w:right w:val="none" w:sz="0" w:space="0" w:color="auto"/>
                  </w:divBdr>
                </w:div>
                <w:div w:id="395593988">
                  <w:marLeft w:val="300"/>
                  <w:marRight w:val="0"/>
                  <w:marTop w:val="0"/>
                  <w:marBottom w:val="0"/>
                  <w:divBdr>
                    <w:top w:val="none" w:sz="0" w:space="0" w:color="auto"/>
                    <w:left w:val="none" w:sz="0" w:space="0" w:color="auto"/>
                    <w:bottom w:val="none" w:sz="0" w:space="0" w:color="auto"/>
                    <w:right w:val="none" w:sz="0" w:space="0" w:color="auto"/>
                  </w:divBdr>
                </w:div>
                <w:div w:id="1162236402">
                  <w:marLeft w:val="300"/>
                  <w:marRight w:val="0"/>
                  <w:marTop w:val="0"/>
                  <w:marBottom w:val="0"/>
                  <w:divBdr>
                    <w:top w:val="none" w:sz="0" w:space="0" w:color="auto"/>
                    <w:left w:val="none" w:sz="0" w:space="0" w:color="auto"/>
                    <w:bottom w:val="none" w:sz="0" w:space="0" w:color="auto"/>
                    <w:right w:val="none" w:sz="0" w:space="0" w:color="auto"/>
                  </w:divBdr>
                </w:div>
                <w:div w:id="1350643168">
                  <w:marLeft w:val="0"/>
                  <w:marRight w:val="0"/>
                  <w:marTop w:val="0"/>
                  <w:marBottom w:val="0"/>
                  <w:divBdr>
                    <w:top w:val="none" w:sz="0" w:space="0" w:color="auto"/>
                    <w:left w:val="none" w:sz="0" w:space="0" w:color="auto"/>
                    <w:bottom w:val="none" w:sz="0" w:space="0" w:color="auto"/>
                    <w:right w:val="none" w:sz="0" w:space="0" w:color="auto"/>
                  </w:divBdr>
                </w:div>
                <w:div w:id="1877085004">
                  <w:marLeft w:val="60"/>
                  <w:marRight w:val="0"/>
                  <w:marTop w:val="0"/>
                  <w:marBottom w:val="0"/>
                  <w:divBdr>
                    <w:top w:val="none" w:sz="0" w:space="0" w:color="auto"/>
                    <w:left w:val="none" w:sz="0" w:space="0" w:color="auto"/>
                    <w:bottom w:val="none" w:sz="0" w:space="0" w:color="auto"/>
                    <w:right w:val="none" w:sz="0" w:space="0" w:color="auto"/>
                  </w:divBdr>
                </w:div>
              </w:divsChild>
            </w:div>
            <w:div w:id="1753501891">
              <w:marLeft w:val="0"/>
              <w:marRight w:val="0"/>
              <w:marTop w:val="0"/>
              <w:marBottom w:val="0"/>
              <w:divBdr>
                <w:top w:val="none" w:sz="0" w:space="0" w:color="auto"/>
                <w:left w:val="none" w:sz="0" w:space="0" w:color="auto"/>
                <w:bottom w:val="none" w:sz="0" w:space="0" w:color="auto"/>
                <w:right w:val="none" w:sz="0" w:space="0" w:color="auto"/>
              </w:divBdr>
              <w:divsChild>
                <w:div w:id="880364819">
                  <w:marLeft w:val="0"/>
                  <w:marRight w:val="0"/>
                  <w:marTop w:val="120"/>
                  <w:marBottom w:val="0"/>
                  <w:divBdr>
                    <w:top w:val="none" w:sz="0" w:space="0" w:color="auto"/>
                    <w:left w:val="none" w:sz="0" w:space="0" w:color="auto"/>
                    <w:bottom w:val="none" w:sz="0" w:space="0" w:color="auto"/>
                    <w:right w:val="none" w:sz="0" w:space="0" w:color="auto"/>
                  </w:divBdr>
                  <w:divsChild>
                    <w:div w:id="1830248659">
                      <w:marLeft w:val="0"/>
                      <w:marRight w:val="0"/>
                      <w:marTop w:val="0"/>
                      <w:marBottom w:val="0"/>
                      <w:divBdr>
                        <w:top w:val="none" w:sz="0" w:space="0" w:color="auto"/>
                        <w:left w:val="none" w:sz="0" w:space="0" w:color="auto"/>
                        <w:bottom w:val="none" w:sz="0" w:space="0" w:color="auto"/>
                        <w:right w:val="none" w:sz="0" w:space="0" w:color="auto"/>
                      </w:divBdr>
                      <w:divsChild>
                        <w:div w:id="21323715">
                          <w:marLeft w:val="0"/>
                          <w:marRight w:val="0"/>
                          <w:marTop w:val="0"/>
                          <w:marBottom w:val="0"/>
                          <w:divBdr>
                            <w:top w:val="none" w:sz="0" w:space="0" w:color="auto"/>
                            <w:left w:val="none" w:sz="0" w:space="0" w:color="auto"/>
                            <w:bottom w:val="none" w:sz="0" w:space="0" w:color="auto"/>
                            <w:right w:val="none" w:sz="0" w:space="0" w:color="auto"/>
                          </w:divBdr>
                          <w:divsChild>
                            <w:div w:id="193654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alt.co/" TargetMode="External"/><Relationship Id="rId13"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https://www.roofstock.com/" TargetMode="External"/><Relationship Id="rId12" Type="http://schemas.openxmlformats.org/officeDocument/2006/relationships/hyperlink" Target="mailto:nmiller@sandiego.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rrived.com/" TargetMode="External"/><Relationship Id="rId11" Type="http://schemas.openxmlformats.org/officeDocument/2006/relationships/hyperlink" Target="https://cointelegraph.com/news/ripple-new-cbdc-platform-hkma-e-hkd-pilot-program" TargetMode="External"/><Relationship Id="rId5" Type="http://schemas.openxmlformats.org/officeDocument/2006/relationships/hyperlink" Target="https://solidblock.co" TargetMode="External"/><Relationship Id="rId15" Type="http://schemas.openxmlformats.org/officeDocument/2006/relationships/theme" Target="theme/theme1.xml"/><Relationship Id="rId10" Type="http://schemas.openxmlformats.org/officeDocument/2006/relationships/hyperlink" Target="https://www.honeybricks.com/learn/tokenized-real-estate-investing" TargetMode="External"/><Relationship Id="rId4" Type="http://schemas.openxmlformats.org/officeDocument/2006/relationships/hyperlink" Target="https://stomarket.com" TargetMode="External"/><Relationship Id="rId9" Type="http://schemas.openxmlformats.org/officeDocument/2006/relationships/hyperlink" Target="https://collateralanalytic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1912</Words>
  <Characters>10899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Norman Miller</dc:creator>
  <cp:keywords/>
  <dc:description/>
  <cp:lastModifiedBy>Norman Miller</cp:lastModifiedBy>
  <cp:revision>2</cp:revision>
  <cp:lastPrinted>2023-05-24T18:52:00Z</cp:lastPrinted>
  <dcterms:created xsi:type="dcterms:W3CDTF">2025-06-07T16:16:00Z</dcterms:created>
  <dcterms:modified xsi:type="dcterms:W3CDTF">2025-06-07T16:16:00Z</dcterms:modified>
</cp:coreProperties>
</file>