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9" w:type="dxa"/>
        <w:tblLayout w:type="fixed"/>
        <w:tblLook w:val="0000" w:firstRow="0" w:lastRow="0" w:firstColumn="0" w:lastColumn="0" w:noHBand="0" w:noVBand="0"/>
      </w:tblPr>
      <w:tblGrid>
        <w:gridCol w:w="3581"/>
        <w:gridCol w:w="5448"/>
      </w:tblGrid>
      <w:tr w:rsidR="006F5187" w14:paraId="716BCE30" w14:textId="77777777" w:rsidTr="00DC3B7E">
        <w:tc>
          <w:tcPr>
            <w:tcW w:w="9029" w:type="dxa"/>
            <w:gridSpan w:val="2"/>
            <w:tcBorders>
              <w:top w:val="single" w:sz="4" w:space="0" w:color="000000"/>
              <w:bottom w:val="single" w:sz="4" w:space="0" w:color="000000"/>
            </w:tcBorders>
          </w:tcPr>
          <w:p w14:paraId="5D7F22ED" w14:textId="77777777" w:rsidR="006F5187" w:rsidRDefault="006F5187" w:rsidP="00DC3B7E">
            <w:pPr>
              <w:spacing w:line="480" w:lineRule="auto"/>
              <w:jc w:val="both"/>
            </w:pPr>
            <w:r>
              <w:rPr>
                <w:b/>
              </w:rPr>
              <w:t>Fundamental Features of Islam</w:t>
            </w:r>
          </w:p>
        </w:tc>
      </w:tr>
      <w:tr w:rsidR="006F5187" w14:paraId="63573F61" w14:textId="77777777" w:rsidTr="00DC3B7E">
        <w:tc>
          <w:tcPr>
            <w:tcW w:w="3581" w:type="dxa"/>
            <w:tcBorders>
              <w:top w:val="single" w:sz="4" w:space="0" w:color="000000"/>
            </w:tcBorders>
          </w:tcPr>
          <w:p w14:paraId="4FD1FD73" w14:textId="77777777" w:rsidR="006F5187" w:rsidRDefault="006F5187" w:rsidP="00DC3B7E">
            <w:pPr>
              <w:spacing w:line="480" w:lineRule="auto"/>
            </w:pPr>
            <w:r>
              <w:rPr>
                <w:b/>
              </w:rPr>
              <w:t>Theoretical</w:t>
            </w:r>
          </w:p>
        </w:tc>
        <w:tc>
          <w:tcPr>
            <w:tcW w:w="5448" w:type="dxa"/>
            <w:tcBorders>
              <w:top w:val="single" w:sz="4" w:space="0" w:color="000000"/>
            </w:tcBorders>
          </w:tcPr>
          <w:p w14:paraId="45F501EA" w14:textId="77777777" w:rsidR="006F5187" w:rsidRDefault="006F5187" w:rsidP="00DC3B7E">
            <w:pPr>
              <w:spacing w:line="480" w:lineRule="auto"/>
            </w:pPr>
          </w:p>
        </w:tc>
      </w:tr>
      <w:tr w:rsidR="006F5187" w14:paraId="662EC3EC" w14:textId="77777777" w:rsidTr="00DC3B7E">
        <w:tc>
          <w:tcPr>
            <w:tcW w:w="3581" w:type="dxa"/>
          </w:tcPr>
          <w:p w14:paraId="2527501F" w14:textId="77777777" w:rsidR="006F5187" w:rsidRDefault="006F5187" w:rsidP="00DC3B7E">
            <w:pPr>
              <w:spacing w:line="480" w:lineRule="auto"/>
            </w:pPr>
            <w:r>
              <w:t>Basic Worldview</w:t>
            </w:r>
          </w:p>
        </w:tc>
        <w:tc>
          <w:tcPr>
            <w:tcW w:w="5448" w:type="dxa"/>
          </w:tcPr>
          <w:p w14:paraId="70396D9B" w14:textId="77777777" w:rsidR="006F5187" w:rsidRDefault="006F5187" w:rsidP="00DC3B7E">
            <w:pPr>
              <w:spacing w:line="480" w:lineRule="auto"/>
            </w:pPr>
            <w:r>
              <w:t>The world is for humans but under the absolute rule of God.</w:t>
            </w:r>
          </w:p>
        </w:tc>
      </w:tr>
      <w:tr w:rsidR="006F5187" w14:paraId="2393F4E0" w14:textId="77777777" w:rsidTr="00DC3B7E">
        <w:tc>
          <w:tcPr>
            <w:tcW w:w="3581" w:type="dxa"/>
          </w:tcPr>
          <w:p w14:paraId="2B1F353D" w14:textId="77777777" w:rsidR="006F5187" w:rsidRDefault="006F5187" w:rsidP="00DC3B7E">
            <w:pPr>
              <w:spacing w:line="480" w:lineRule="auto"/>
            </w:pPr>
            <w:r>
              <w:t>God or Ultimate Reality</w:t>
            </w:r>
          </w:p>
        </w:tc>
        <w:tc>
          <w:tcPr>
            <w:tcW w:w="5448" w:type="dxa"/>
          </w:tcPr>
          <w:p w14:paraId="674A2C57" w14:textId="77777777" w:rsidR="006F5187" w:rsidRDefault="006F5187" w:rsidP="00DC3B7E">
            <w:pPr>
              <w:spacing w:line="480" w:lineRule="auto"/>
            </w:pPr>
            <w:r>
              <w:t>God, sovereign, personal, revealing himself and giving specific guidance to humanity.</w:t>
            </w:r>
          </w:p>
        </w:tc>
      </w:tr>
      <w:tr w:rsidR="006F5187" w14:paraId="40D942E5" w14:textId="77777777" w:rsidTr="00DC3B7E">
        <w:tc>
          <w:tcPr>
            <w:tcW w:w="3581" w:type="dxa"/>
          </w:tcPr>
          <w:p w14:paraId="7E260518" w14:textId="77777777" w:rsidR="006F5187" w:rsidRDefault="006F5187" w:rsidP="00DC3B7E">
            <w:pPr>
              <w:spacing w:line="480" w:lineRule="auto"/>
            </w:pPr>
            <w:r>
              <w:t>Origin of the World</w:t>
            </w:r>
          </w:p>
        </w:tc>
        <w:tc>
          <w:tcPr>
            <w:tcW w:w="5448" w:type="dxa"/>
          </w:tcPr>
          <w:p w14:paraId="139E741D" w14:textId="77777777" w:rsidR="006F5187" w:rsidRDefault="006F5187" w:rsidP="00DC3B7E">
            <w:pPr>
              <w:spacing w:line="480" w:lineRule="auto"/>
            </w:pPr>
            <w:r>
              <w:t>Created by God.</w:t>
            </w:r>
          </w:p>
        </w:tc>
      </w:tr>
      <w:tr w:rsidR="006F5187" w14:paraId="3D8576C2" w14:textId="77777777" w:rsidTr="00DC3B7E">
        <w:tc>
          <w:tcPr>
            <w:tcW w:w="3581" w:type="dxa"/>
          </w:tcPr>
          <w:p w14:paraId="69E8142B" w14:textId="77777777" w:rsidR="006F5187" w:rsidRDefault="006F5187" w:rsidP="00DC3B7E">
            <w:pPr>
              <w:spacing w:line="480" w:lineRule="auto"/>
            </w:pPr>
            <w:r>
              <w:t>Destiny of the World</w:t>
            </w:r>
          </w:p>
        </w:tc>
        <w:tc>
          <w:tcPr>
            <w:tcW w:w="5448" w:type="dxa"/>
          </w:tcPr>
          <w:p w14:paraId="075AB2AE" w14:textId="77777777" w:rsidR="006F5187" w:rsidRDefault="006F5187" w:rsidP="00DC3B7E">
            <w:pPr>
              <w:spacing w:line="480" w:lineRule="auto"/>
            </w:pPr>
            <w:r>
              <w:t>To be destroyed on the Last Day, the day of judgment.</w:t>
            </w:r>
          </w:p>
        </w:tc>
      </w:tr>
      <w:tr w:rsidR="006F5187" w14:paraId="76074F75" w14:textId="77777777" w:rsidTr="00DC3B7E">
        <w:tc>
          <w:tcPr>
            <w:tcW w:w="3581" w:type="dxa"/>
          </w:tcPr>
          <w:p w14:paraId="4429B722" w14:textId="77777777" w:rsidR="006F5187" w:rsidRDefault="006F5187" w:rsidP="00DC3B7E">
            <w:pPr>
              <w:spacing w:line="480" w:lineRule="auto"/>
            </w:pPr>
            <w:r>
              <w:t>Origin of Humans</w:t>
            </w:r>
          </w:p>
        </w:tc>
        <w:tc>
          <w:tcPr>
            <w:tcW w:w="5448" w:type="dxa"/>
          </w:tcPr>
          <w:p w14:paraId="0F637835" w14:textId="77777777" w:rsidR="006F5187" w:rsidRDefault="006F5187" w:rsidP="00DC3B7E">
            <w:pPr>
              <w:spacing w:line="480" w:lineRule="auto"/>
            </w:pPr>
            <w:r>
              <w:t>Created by God.</w:t>
            </w:r>
          </w:p>
        </w:tc>
      </w:tr>
      <w:tr w:rsidR="006F5187" w14:paraId="566AD5F1" w14:textId="77777777" w:rsidTr="00DC3B7E">
        <w:tc>
          <w:tcPr>
            <w:tcW w:w="3581" w:type="dxa"/>
          </w:tcPr>
          <w:p w14:paraId="11804347" w14:textId="77777777" w:rsidR="006F5187" w:rsidRDefault="006F5187" w:rsidP="00DC3B7E">
            <w:pPr>
              <w:spacing w:line="480" w:lineRule="auto"/>
            </w:pPr>
            <w:r>
              <w:t>Destiny of Humans</w:t>
            </w:r>
          </w:p>
        </w:tc>
        <w:tc>
          <w:tcPr>
            <w:tcW w:w="5448" w:type="dxa"/>
          </w:tcPr>
          <w:p w14:paraId="00A1B35E" w14:textId="77777777" w:rsidR="006F5187" w:rsidRDefault="006F5187" w:rsidP="00DC3B7E">
            <w:pPr>
              <w:spacing w:line="480" w:lineRule="auto"/>
            </w:pPr>
            <w:r>
              <w:t>To be judged on the Last Day and to receive reward or punishment in the Second Creation.</w:t>
            </w:r>
          </w:p>
        </w:tc>
      </w:tr>
      <w:tr w:rsidR="006F5187" w14:paraId="4A2A05CB" w14:textId="77777777" w:rsidTr="00DC3B7E">
        <w:tc>
          <w:tcPr>
            <w:tcW w:w="3581" w:type="dxa"/>
          </w:tcPr>
          <w:p w14:paraId="5B9E729D" w14:textId="77777777" w:rsidR="006F5187" w:rsidRDefault="006F5187" w:rsidP="00DC3B7E">
            <w:pPr>
              <w:spacing w:line="480" w:lineRule="auto"/>
            </w:pPr>
            <w:r>
              <w:t>Revelation or Mediation between the Ultimate and the Human</w:t>
            </w:r>
          </w:p>
        </w:tc>
        <w:tc>
          <w:tcPr>
            <w:tcW w:w="5448" w:type="dxa"/>
          </w:tcPr>
          <w:p w14:paraId="689FE433" w14:textId="77777777" w:rsidR="006F5187" w:rsidRDefault="006F5187" w:rsidP="00DC3B7E">
            <w:pPr>
              <w:spacing w:line="480" w:lineRule="auto"/>
            </w:pPr>
            <w:r>
              <w:t>The revelation in the Qur’an given through</w:t>
            </w:r>
          </w:p>
          <w:p w14:paraId="59025955" w14:textId="77777777" w:rsidR="006F5187" w:rsidRDefault="006F5187" w:rsidP="00DC3B7E">
            <w:pPr>
              <w:spacing w:line="480" w:lineRule="auto"/>
            </w:pPr>
            <w:r>
              <w:t>Muhammad, the last and greatest of the prophets.</w:t>
            </w:r>
          </w:p>
        </w:tc>
      </w:tr>
      <w:tr w:rsidR="006F5187" w14:paraId="6D8B9CC1" w14:textId="77777777" w:rsidTr="00DC3B7E">
        <w:tc>
          <w:tcPr>
            <w:tcW w:w="3581" w:type="dxa"/>
          </w:tcPr>
          <w:p w14:paraId="492D1683" w14:textId="77777777" w:rsidR="006F5187" w:rsidRDefault="006F5187" w:rsidP="00DC3B7E">
            <w:pPr>
              <w:spacing w:line="480" w:lineRule="auto"/>
            </w:pPr>
            <w:r>
              <w:rPr>
                <w:b/>
              </w:rPr>
              <w:t>Practical</w:t>
            </w:r>
          </w:p>
        </w:tc>
        <w:tc>
          <w:tcPr>
            <w:tcW w:w="5448" w:type="dxa"/>
          </w:tcPr>
          <w:p w14:paraId="61C56A4B" w14:textId="77777777" w:rsidR="006F5187" w:rsidRDefault="006F5187" w:rsidP="00DC3B7E">
            <w:pPr>
              <w:spacing w:line="480" w:lineRule="auto"/>
            </w:pPr>
          </w:p>
        </w:tc>
      </w:tr>
      <w:tr w:rsidR="006F5187" w14:paraId="6040A2D6" w14:textId="77777777" w:rsidTr="00DC3B7E">
        <w:tc>
          <w:tcPr>
            <w:tcW w:w="3581" w:type="dxa"/>
          </w:tcPr>
          <w:p w14:paraId="20098C54" w14:textId="77777777" w:rsidR="006F5187" w:rsidRDefault="006F5187" w:rsidP="00DC3B7E">
            <w:pPr>
              <w:spacing w:line="480" w:lineRule="auto"/>
            </w:pPr>
            <w:r>
              <w:t>What Is Expected of Humans: Worship, Practices, Behavior</w:t>
            </w:r>
          </w:p>
        </w:tc>
        <w:tc>
          <w:tcPr>
            <w:tcW w:w="5448" w:type="dxa"/>
          </w:tcPr>
          <w:p w14:paraId="295941DE" w14:textId="201679C1" w:rsidR="006F5187" w:rsidRDefault="006F5187" w:rsidP="00DC3B7E">
            <w:pPr>
              <w:spacing w:line="480" w:lineRule="auto"/>
            </w:pPr>
            <w:r>
              <w:t xml:space="preserve">To worship and serve God in accordance with his commandments: to observe the Five Pillars and the rest of </w:t>
            </w:r>
            <w:proofErr w:type="spellStart"/>
            <w:proofErr w:type="gramStart"/>
            <w:r>
              <w:rPr>
                <w:i/>
              </w:rPr>
              <w:t>Shari‘</w:t>
            </w:r>
            <w:proofErr w:type="gramEnd"/>
            <w:r>
              <w:rPr>
                <w:i/>
              </w:rPr>
              <w:t>a</w:t>
            </w:r>
            <w:r w:rsidR="002D610B">
              <w:rPr>
                <w:i/>
              </w:rPr>
              <w:t>h</w:t>
            </w:r>
            <w:proofErr w:type="spellEnd"/>
            <w:r>
              <w:t>.</w:t>
            </w:r>
          </w:p>
        </w:tc>
      </w:tr>
      <w:tr w:rsidR="006F5187" w14:paraId="70DE7A54" w14:textId="77777777" w:rsidTr="00DC3B7E">
        <w:tc>
          <w:tcPr>
            <w:tcW w:w="3581" w:type="dxa"/>
          </w:tcPr>
          <w:p w14:paraId="2AB3C6A2" w14:textId="77777777" w:rsidR="006F5187" w:rsidRDefault="006F5187" w:rsidP="00DC3B7E">
            <w:pPr>
              <w:spacing w:line="480" w:lineRule="auto"/>
            </w:pPr>
            <w:r>
              <w:rPr>
                <w:b/>
              </w:rPr>
              <w:t>Sociological</w:t>
            </w:r>
          </w:p>
        </w:tc>
        <w:tc>
          <w:tcPr>
            <w:tcW w:w="5448" w:type="dxa"/>
          </w:tcPr>
          <w:p w14:paraId="4DD7F4FD" w14:textId="77777777" w:rsidR="006F5187" w:rsidRDefault="006F5187" w:rsidP="00DC3B7E">
            <w:pPr>
              <w:spacing w:line="480" w:lineRule="auto"/>
            </w:pPr>
          </w:p>
        </w:tc>
      </w:tr>
      <w:tr w:rsidR="006F5187" w14:paraId="00C6B462" w14:textId="77777777" w:rsidTr="00DC3B7E">
        <w:tc>
          <w:tcPr>
            <w:tcW w:w="3581" w:type="dxa"/>
            <w:tcBorders>
              <w:bottom w:val="single" w:sz="4" w:space="0" w:color="000000"/>
            </w:tcBorders>
          </w:tcPr>
          <w:p w14:paraId="2207E25A" w14:textId="77777777" w:rsidR="006F5187" w:rsidRDefault="006F5187" w:rsidP="00DC3B7E">
            <w:pPr>
              <w:spacing w:line="480" w:lineRule="auto"/>
            </w:pPr>
            <w:r>
              <w:t>Major Social Institutions</w:t>
            </w:r>
          </w:p>
        </w:tc>
        <w:tc>
          <w:tcPr>
            <w:tcW w:w="5448" w:type="dxa"/>
            <w:tcBorders>
              <w:bottom w:val="single" w:sz="4" w:space="0" w:color="000000"/>
            </w:tcBorders>
          </w:tcPr>
          <w:p w14:paraId="238357A9" w14:textId="77777777" w:rsidR="006F5187" w:rsidRDefault="006F5187" w:rsidP="00DC3B7E">
            <w:pPr>
              <w:spacing w:line="480" w:lineRule="auto"/>
            </w:pPr>
            <w:r>
              <w:t xml:space="preserve">The whole Islamic community; the local Friday Mosque community; the </w:t>
            </w:r>
            <w:r>
              <w:rPr>
                <w:i/>
              </w:rPr>
              <w:t>ulama</w:t>
            </w:r>
            <w:r>
              <w:t>, or body of teachers and preachers; Sufi orders; the ideal of the Islamic society.</w:t>
            </w:r>
          </w:p>
        </w:tc>
      </w:tr>
    </w:tbl>
    <w:p w14:paraId="6202B9BD" w14:textId="64C9B9B3" w:rsidR="0061709D" w:rsidRDefault="0061709D"/>
    <w:p w14:paraId="4B3AB7BB" w14:textId="1A999C66" w:rsidR="006F5187" w:rsidRDefault="006F5187" w:rsidP="006F5187">
      <w:pPr>
        <w:spacing w:line="480" w:lineRule="auto"/>
        <w:ind w:firstLine="360"/>
        <w:jc w:val="both"/>
      </w:pPr>
      <w:r>
        <w:t xml:space="preserve">The </w:t>
      </w:r>
      <w:proofErr w:type="gramStart"/>
      <w:r>
        <w:t>stories</w:t>
      </w:r>
      <w:proofErr w:type="gramEnd"/>
      <w:r>
        <w:t xml:space="preserve"> of woman converts to Islam may shed further light on the situation. Margot </w:t>
      </w:r>
      <w:proofErr w:type="spellStart"/>
      <w:r>
        <w:t>Badran</w:t>
      </w:r>
      <w:proofErr w:type="spellEnd"/>
      <w:r>
        <w:t xml:space="preserve">, in “Feminism and Conversion,” presents the example of Batool Al Toma (formerly </w:t>
      </w:r>
      <w:r>
        <w:lastRenderedPageBreak/>
        <w:t>Mary Geraghty), a British woman of Irish background.</w:t>
      </w:r>
      <w:r>
        <w:rPr>
          <w:vertAlign w:val="superscript"/>
        </w:rPr>
        <w:footnoteReference w:id="1"/>
      </w:r>
      <w:r w:rsidR="002D610B">
        <w:t xml:space="preserve"> </w:t>
      </w:r>
      <w:r>
        <w:t>Feeling unable to find rational answers to her religious questions in her natal religion, she believed that she saw signs of those answers in Islam. After seven or eight years of investigation, she converted. At first in her reading, she “was very comfortable about how Islam presented women and saw women.” Further reading, however, brought before her eyes appalling information on the actual experience of some Muslim women in Muslim cultures. Far from being turned away from Islam by this material, however, Al Toma was convinced that all that those women experienced was a perversion of Islam. The rational and egalitarian Islam of her first enthusiasm was still the real Islam for her.</w:t>
      </w:r>
    </w:p>
    <w:p w14:paraId="26A75395" w14:textId="4BC00C77" w:rsidR="006F5187" w:rsidRDefault="006F5187" w:rsidP="006F5187">
      <w:pPr>
        <w:spacing w:line="480" w:lineRule="auto"/>
        <w:ind w:firstLine="360"/>
        <w:jc w:val="both"/>
      </w:pPr>
      <w:r>
        <w:t xml:space="preserve">Al Toma threw herself, together with other Muslim women, into the cause of Islamic feminism (though she does not use that term). Not hesitant to study and think for herself, she drew her own intellectual conclusions like any other theologian reinterpreting her or his own religion for contemporary times. In 1993 she founded the New Muslim Project at </w:t>
      </w:r>
      <w:r w:rsidR="002D610B">
        <w:t>t</w:t>
      </w:r>
      <w:r>
        <w:t xml:space="preserve">he Islamic Foundation in England, for both men and women, editing that association’s newsletter </w:t>
      </w:r>
      <w:r>
        <w:rPr>
          <w:i/>
        </w:rPr>
        <w:t>Meeting Point</w:t>
      </w:r>
      <w:r>
        <w:t xml:space="preserve">, which uniquely appeals to the convert community. As editor of </w:t>
      </w:r>
      <w:r>
        <w:rPr>
          <w:i/>
        </w:rPr>
        <w:t xml:space="preserve">Meeting Point </w:t>
      </w:r>
      <w:r>
        <w:t>and now as the founding director of the Convert Muslim Foundation,</w:t>
      </w:r>
      <w:r>
        <w:rPr>
          <w:rStyle w:val="FootnoteReference"/>
        </w:rPr>
        <w:footnoteReference w:id="2"/>
      </w:r>
      <w:r>
        <w:t xml:space="preserve"> Al Toma continues to uphold Islam’s affirmation of the full equality of all human beings and to play a significant role in dialogue between old and new Islam, between Muslims and non-Muslims, and between the genders in her chosen faith.</w:t>
      </w:r>
    </w:p>
    <w:p w14:paraId="7C3E3C03" w14:textId="76532CBE" w:rsidR="006F5187" w:rsidRDefault="006F5187" w:rsidP="006F5187">
      <w:pPr>
        <w:spacing w:line="480" w:lineRule="auto"/>
        <w:ind w:firstLine="360"/>
        <w:jc w:val="both"/>
      </w:pPr>
      <w:r>
        <w:t xml:space="preserve">In the United States, there are many Muslim women leaders and activists. One especially known advocate is </w:t>
      </w:r>
      <w:proofErr w:type="spellStart"/>
      <w:r>
        <w:t>Maha</w:t>
      </w:r>
      <w:proofErr w:type="spellEnd"/>
      <w:r>
        <w:t xml:space="preserve"> </w:t>
      </w:r>
      <w:proofErr w:type="spellStart"/>
      <w:r>
        <w:t>Elgenaidi</w:t>
      </w:r>
      <w:proofErr w:type="spellEnd"/>
      <w:r>
        <w:t>, who founded the Islamic Networks Group</w:t>
      </w:r>
      <w:r w:rsidR="002D610B">
        <w:t xml:space="preserve"> (ING)</w:t>
      </w:r>
      <w:r>
        <w:t xml:space="preserve"> in 1993 with her personal savings. ING continues </w:t>
      </w:r>
      <w:proofErr w:type="spellStart"/>
      <w:r>
        <w:t>Maha’s</w:t>
      </w:r>
      <w:proofErr w:type="spellEnd"/>
      <w:r>
        <w:t xml:space="preserve"> original vision: dedicated to teaching Americans about Islam and doing outreach to other groups, including providing panels that promote interfaith engagement and understanding among Christians, Jews, Hindus, Buddhists, </w:t>
      </w:r>
      <w:r>
        <w:lastRenderedPageBreak/>
        <w:t>and Muslims in the United States.</w:t>
      </w:r>
      <w:r>
        <w:rPr>
          <w:rStyle w:val="FootnoteReference"/>
        </w:rPr>
        <w:footnoteReference w:id="3"/>
      </w:r>
    </w:p>
    <w:p w14:paraId="7A914AD4" w14:textId="77777777" w:rsidR="006F5187" w:rsidRDefault="006F5187" w:rsidP="006F5187">
      <w:pPr>
        <w:spacing w:line="480" w:lineRule="auto"/>
        <w:ind w:firstLine="360"/>
        <w:jc w:val="both"/>
      </w:pPr>
      <w:r>
        <w:t>It might also be mentioned that mosques primarily for women, and led by “</w:t>
      </w:r>
      <w:proofErr w:type="spellStart"/>
      <w:r>
        <w:t>Imamas</w:t>
      </w:r>
      <w:proofErr w:type="spellEnd"/>
      <w:r>
        <w:t xml:space="preserve">,” have appeared in Europe and the United States. Leaders declare that this growing movement is not “reform,” but rather “going back to the essence of Islam”: equality. </w:t>
      </w:r>
    </w:p>
    <w:p w14:paraId="32F09E14" w14:textId="77777777" w:rsidR="006F5187" w:rsidRDefault="006F5187" w:rsidP="006F5187">
      <w:pPr>
        <w:spacing w:line="480" w:lineRule="auto"/>
        <w:ind w:firstLine="360"/>
        <w:jc w:val="both"/>
      </w:pPr>
      <w:r>
        <w:t>Contemporary Islam is replete with contradictions that reflect the competing winds of reform and tradition. These competing forces are playing themselves out in various ways in different contexts in the vast and varied forms of Islam found not only in the Middle East but also all around the world. Where women stand within these various contexts depends on many things: the traditional customs of each area in which Islam is found; the degree to which such customs have been assimilated into Islam; the resolution of the reformist/traditionalist debate in each society; the degree of acceptance or rejection of Western ideas of modernity; and the contributions of Islamic feminism. Consequently, Islam is likely to remain ever varied as it continues to spread throughout the world in the twenty-first century, and its attitudes and practices with respect to women will be just as widely varied as well.</w:t>
      </w:r>
    </w:p>
    <w:p w14:paraId="29E5FECA" w14:textId="77777777" w:rsidR="006F5187" w:rsidRDefault="006F5187"/>
    <w:sectPr w:rsidR="006F518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6C32E" w14:textId="77777777" w:rsidR="006F5187" w:rsidRDefault="006F5187" w:rsidP="006F5187">
      <w:r>
        <w:separator/>
      </w:r>
    </w:p>
  </w:endnote>
  <w:endnote w:type="continuationSeparator" w:id="0">
    <w:p w14:paraId="6EF86B56" w14:textId="77777777" w:rsidR="006F5187" w:rsidRDefault="006F5187" w:rsidP="006F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DE145" w14:textId="77777777" w:rsidR="006F5187" w:rsidRDefault="006F5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BBA48" w14:textId="2C46902B" w:rsidR="006F5187" w:rsidRDefault="006F5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3561" w14:textId="77777777" w:rsidR="006F5187" w:rsidRDefault="006F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682BF" w14:textId="77777777" w:rsidR="006F5187" w:rsidRDefault="006F5187" w:rsidP="006F5187">
      <w:r>
        <w:separator/>
      </w:r>
    </w:p>
  </w:footnote>
  <w:footnote w:type="continuationSeparator" w:id="0">
    <w:p w14:paraId="75A449EC" w14:textId="77777777" w:rsidR="006F5187" w:rsidRDefault="006F5187" w:rsidP="006F5187">
      <w:r>
        <w:continuationSeparator/>
      </w:r>
    </w:p>
  </w:footnote>
  <w:footnote w:id="1">
    <w:p w14:paraId="53ED30DE" w14:textId="77777777" w:rsidR="006F5187" w:rsidRDefault="006F5187" w:rsidP="006F518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Margot </w:t>
      </w:r>
      <w:proofErr w:type="spellStart"/>
      <w:r>
        <w:rPr>
          <w:color w:val="000000"/>
          <w:sz w:val="20"/>
          <w:szCs w:val="20"/>
        </w:rPr>
        <w:t>Badran</w:t>
      </w:r>
      <w:proofErr w:type="spellEnd"/>
      <w:r>
        <w:rPr>
          <w:color w:val="000000"/>
          <w:sz w:val="20"/>
          <w:szCs w:val="20"/>
        </w:rPr>
        <w:t xml:space="preserve">, “Feminism and Conversion,” in Karin van </w:t>
      </w:r>
      <w:proofErr w:type="spellStart"/>
      <w:r>
        <w:rPr>
          <w:color w:val="000000"/>
          <w:sz w:val="20"/>
          <w:szCs w:val="20"/>
        </w:rPr>
        <w:t>Nieukerk</w:t>
      </w:r>
      <w:proofErr w:type="spellEnd"/>
      <w:r>
        <w:rPr>
          <w:color w:val="000000"/>
          <w:sz w:val="20"/>
          <w:szCs w:val="20"/>
        </w:rPr>
        <w:t xml:space="preserve">, ed., </w:t>
      </w:r>
      <w:r>
        <w:rPr>
          <w:i/>
          <w:color w:val="000000"/>
          <w:sz w:val="20"/>
          <w:szCs w:val="20"/>
        </w:rPr>
        <w:t xml:space="preserve">Women Embracing Islam </w:t>
      </w:r>
      <w:r>
        <w:rPr>
          <w:color w:val="000000"/>
          <w:sz w:val="20"/>
          <w:szCs w:val="20"/>
        </w:rPr>
        <w:t>(Austin: University of Texas Press, 2006).</w:t>
      </w:r>
    </w:p>
  </w:footnote>
  <w:footnote w:id="2">
    <w:p w14:paraId="4D78990D" w14:textId="640E7886" w:rsidR="006F5187" w:rsidRDefault="006F5187" w:rsidP="006F5187">
      <w:pPr>
        <w:pStyle w:val="FootnoteText"/>
      </w:pPr>
      <w:r>
        <w:rPr>
          <w:rStyle w:val="FootnoteReference"/>
        </w:rPr>
        <w:footnoteRef/>
      </w:r>
      <w:r>
        <w:t xml:space="preserve"> Convert Muslim Foundation, </w:t>
      </w:r>
      <w:r w:rsidRPr="00DA38C8">
        <w:t>www.convertmuslimfoundation.org.uk</w:t>
      </w:r>
      <w:r w:rsidR="002D610B">
        <w:t>,</w:t>
      </w:r>
      <w:r>
        <w:t xml:space="preserve"> </w:t>
      </w:r>
      <w:r w:rsidR="002D610B">
        <w:t>a</w:t>
      </w:r>
      <w:r>
        <w:t>ccessed January 18, 2021.</w:t>
      </w:r>
    </w:p>
  </w:footnote>
  <w:footnote w:id="3">
    <w:p w14:paraId="269470D9" w14:textId="1EBFB71F" w:rsidR="006F5187" w:rsidRDefault="006F5187" w:rsidP="006F5187">
      <w:pPr>
        <w:pStyle w:val="FootnoteText"/>
      </w:pPr>
      <w:r>
        <w:rPr>
          <w:rStyle w:val="FootnoteReference"/>
        </w:rPr>
        <w:footnoteRef/>
      </w:r>
      <w:r>
        <w:t xml:space="preserve"> Islamic Networks Group, </w:t>
      </w:r>
      <w:hyperlink r:id="rId1" w:history="1">
        <w:r w:rsidR="002D610B" w:rsidRPr="00711422">
          <w:rPr>
            <w:rStyle w:val="Hyperlink"/>
          </w:rPr>
          <w:t>www.ing.org</w:t>
        </w:r>
      </w:hyperlink>
      <w:r w:rsidR="002D610B">
        <w:t>, a</w:t>
      </w:r>
      <w:r>
        <w:t>ccessed January 18,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5639" w14:textId="77777777" w:rsidR="006F5187" w:rsidRDefault="006F5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8889A" w14:textId="77777777" w:rsidR="006F5187" w:rsidRDefault="006F51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A581" w14:textId="77777777" w:rsidR="006F5187" w:rsidRDefault="006F51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87"/>
    <w:rsid w:val="002D610B"/>
    <w:rsid w:val="0061709D"/>
    <w:rsid w:val="006F5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16B9D"/>
  <w15:chartTrackingRefBased/>
  <w15:docId w15:val="{190A3E42-9008-48CA-9569-A05191F6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187"/>
    <w:pPr>
      <w:widowControl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F5187"/>
    <w:rPr>
      <w:sz w:val="20"/>
      <w:szCs w:val="20"/>
    </w:rPr>
  </w:style>
  <w:style w:type="character" w:customStyle="1" w:styleId="FootnoteTextChar">
    <w:name w:val="Footnote Text Char"/>
    <w:basedOn w:val="DefaultParagraphFont"/>
    <w:link w:val="FootnoteText"/>
    <w:uiPriority w:val="99"/>
    <w:semiHidden/>
    <w:rsid w:val="006F518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6F5187"/>
    <w:rPr>
      <w:vertAlign w:val="superscript"/>
    </w:rPr>
  </w:style>
  <w:style w:type="paragraph" w:styleId="Header">
    <w:name w:val="header"/>
    <w:basedOn w:val="Normal"/>
    <w:link w:val="HeaderChar"/>
    <w:uiPriority w:val="99"/>
    <w:unhideWhenUsed/>
    <w:rsid w:val="006F5187"/>
    <w:pPr>
      <w:tabs>
        <w:tab w:val="center" w:pos="4513"/>
        <w:tab w:val="right" w:pos="9026"/>
      </w:tabs>
    </w:pPr>
  </w:style>
  <w:style w:type="character" w:customStyle="1" w:styleId="HeaderChar">
    <w:name w:val="Header Char"/>
    <w:basedOn w:val="DefaultParagraphFont"/>
    <w:link w:val="Header"/>
    <w:uiPriority w:val="99"/>
    <w:rsid w:val="006F518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F5187"/>
    <w:pPr>
      <w:tabs>
        <w:tab w:val="center" w:pos="4513"/>
        <w:tab w:val="right" w:pos="9026"/>
      </w:tabs>
    </w:pPr>
  </w:style>
  <w:style w:type="character" w:customStyle="1" w:styleId="FooterChar">
    <w:name w:val="Footer Char"/>
    <w:basedOn w:val="DefaultParagraphFont"/>
    <w:link w:val="Footer"/>
    <w:uiPriority w:val="99"/>
    <w:rsid w:val="006F518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D610B"/>
    <w:rPr>
      <w:color w:val="0563C1" w:themeColor="hyperlink"/>
      <w:u w:val="single"/>
    </w:rPr>
  </w:style>
  <w:style w:type="character" w:styleId="UnresolvedMention">
    <w:name w:val="Unresolved Mention"/>
    <w:basedOn w:val="DefaultParagraphFont"/>
    <w:uiPriority w:val="99"/>
    <w:semiHidden/>
    <w:unhideWhenUsed/>
    <w:rsid w:val="002D6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659</Words>
  <Characters>3762</Characters>
  <Application>Microsoft Office Word</Application>
  <DocSecurity>0</DocSecurity>
  <Lines>31</Lines>
  <Paragraphs>8</Paragraphs>
  <ScaleCrop>false</ScaleCrop>
  <Company>Informa plc</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Hakimi, Iman</dc:creator>
  <cp:keywords/>
  <dc:description/>
  <cp:lastModifiedBy>Gaizutyte, Gabriele</cp:lastModifiedBy>
  <cp:revision>2</cp:revision>
  <dcterms:created xsi:type="dcterms:W3CDTF">2022-06-29T15:33:00Z</dcterms:created>
  <dcterms:modified xsi:type="dcterms:W3CDTF">2022-08-26T14:33:00Z</dcterms:modified>
</cp:coreProperties>
</file>