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0BE96" w14:textId="3B4EDD8B" w:rsidR="00E968FB" w:rsidRPr="001052BE" w:rsidRDefault="00C22CA1" w:rsidP="00E0250E">
      <w:pPr>
        <w:jc w:val="both"/>
        <w:rPr>
          <w:rFonts w:ascii="Calibri" w:hAnsi="Calibri"/>
          <w:b/>
          <w:bCs/>
          <w:color w:val="auto"/>
        </w:rPr>
      </w:pPr>
      <w:r w:rsidRPr="006154D6">
        <w:rPr>
          <w:rFonts w:ascii="Calibri" w:hAnsi="Calibri"/>
          <w:b/>
          <w:bCs/>
          <w:color w:val="auto"/>
        </w:rPr>
        <w:t>Task 8</w:t>
      </w:r>
      <w:r w:rsidR="00E968FB" w:rsidRPr="006154D6">
        <w:rPr>
          <w:rFonts w:ascii="Calibri" w:hAnsi="Calibri"/>
          <w:b/>
          <w:bCs/>
          <w:color w:val="auto"/>
        </w:rPr>
        <w:t>.1</w:t>
      </w:r>
      <w:r w:rsidRPr="006154D6">
        <w:rPr>
          <w:rFonts w:ascii="Calibri" w:hAnsi="Calibri"/>
          <w:b/>
          <w:bCs/>
          <w:color w:val="auto"/>
        </w:rPr>
        <w:t>4</w:t>
      </w:r>
      <w:r w:rsidR="00E968FB" w:rsidRPr="001052BE">
        <w:rPr>
          <w:rFonts w:ascii="Calibri" w:hAnsi="Calibri"/>
          <w:b/>
          <w:bCs/>
          <w:color w:val="auto"/>
        </w:rPr>
        <w:t xml:space="preserve"> Useful </w:t>
      </w:r>
      <w:r w:rsidR="00000BDD" w:rsidRPr="001052BE">
        <w:rPr>
          <w:rFonts w:ascii="Calibri" w:hAnsi="Calibri"/>
          <w:b/>
          <w:bCs/>
          <w:color w:val="auto"/>
        </w:rPr>
        <w:t>SMART</w:t>
      </w:r>
      <w:r w:rsidR="00E968FB" w:rsidRPr="001052BE">
        <w:rPr>
          <w:rFonts w:ascii="Calibri" w:hAnsi="Calibri"/>
          <w:b/>
          <w:bCs/>
          <w:color w:val="auto"/>
        </w:rPr>
        <w:t xml:space="preserve"> strategies</w:t>
      </w:r>
    </w:p>
    <w:p w14:paraId="539C590F" w14:textId="21B0AACD" w:rsidR="00E968FB" w:rsidRDefault="00E968FB" w:rsidP="00E0250E">
      <w:pPr>
        <w:spacing w:line="240" w:lineRule="auto"/>
        <w:jc w:val="both"/>
        <w:rPr>
          <w:rFonts w:ascii="Calibri" w:hAnsi="Calibri"/>
        </w:rPr>
      </w:pPr>
      <w:r w:rsidRPr="00E0250E">
        <w:rPr>
          <w:rFonts w:ascii="Calibri" w:hAnsi="Calibri"/>
        </w:rPr>
        <w:t xml:space="preserve">Below is a checklist </w:t>
      </w:r>
      <w:r w:rsidR="00000BDD">
        <w:rPr>
          <w:rFonts w:ascii="Calibri" w:hAnsi="Calibri"/>
        </w:rPr>
        <w:t>that</w:t>
      </w:r>
      <w:r w:rsidR="00000BDD" w:rsidRPr="00E0250E">
        <w:rPr>
          <w:rFonts w:ascii="Calibri" w:hAnsi="Calibri"/>
        </w:rPr>
        <w:t xml:space="preserve"> </w:t>
      </w:r>
      <w:r w:rsidRPr="00E0250E">
        <w:rPr>
          <w:rFonts w:ascii="Calibri" w:hAnsi="Calibri"/>
        </w:rPr>
        <w:t>highlights a number of strategies that may help to support an effective learning environment and promote relationships for positive behaviour</w:t>
      </w:r>
      <w:r w:rsidR="00000BDD">
        <w:rPr>
          <w:rFonts w:ascii="Calibri" w:hAnsi="Calibri"/>
        </w:rPr>
        <w:t>.</w:t>
      </w:r>
      <w:r w:rsidRPr="00E0250E">
        <w:rPr>
          <w:rFonts w:ascii="Calibri" w:hAnsi="Calibri"/>
        </w:rPr>
        <w:t xml:space="preserve"> </w:t>
      </w:r>
      <w:r w:rsidR="00000BDD">
        <w:rPr>
          <w:rFonts w:ascii="Calibri" w:hAnsi="Calibri"/>
        </w:rPr>
        <w:t>T</w:t>
      </w:r>
      <w:r w:rsidRPr="00E0250E">
        <w:rPr>
          <w:rFonts w:ascii="Calibri" w:hAnsi="Calibri"/>
        </w:rPr>
        <w:t>ry them out and record which have a positive impact in your PDP.</w:t>
      </w:r>
    </w:p>
    <w:p w14:paraId="25173CE3" w14:textId="77777777" w:rsidR="00E0250E" w:rsidRPr="00E0250E" w:rsidRDefault="00E0250E" w:rsidP="00E0250E">
      <w:pPr>
        <w:spacing w:line="240" w:lineRule="auto"/>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7292"/>
      </w:tblGrid>
      <w:tr w:rsidR="00E0250E" w:rsidRPr="00623C74" w14:paraId="153C1040" w14:textId="77777777" w:rsidTr="00F87A21">
        <w:trPr>
          <w:trHeight w:val="4739"/>
        </w:trPr>
        <w:tc>
          <w:tcPr>
            <w:tcW w:w="1950" w:type="dxa"/>
            <w:shd w:val="clear" w:color="auto" w:fill="auto"/>
          </w:tcPr>
          <w:p w14:paraId="301179C1" w14:textId="0BED17F5" w:rsidR="00E0250E" w:rsidRPr="00623C74" w:rsidRDefault="00E0250E" w:rsidP="00E0250E">
            <w:pPr>
              <w:spacing w:line="240" w:lineRule="auto"/>
              <w:jc w:val="both"/>
              <w:rPr>
                <w:rFonts w:ascii="Calibri" w:hAnsi="Calibri"/>
                <w:b/>
              </w:rPr>
            </w:pPr>
            <w:r w:rsidRPr="00E0250E">
              <w:rPr>
                <w:rFonts w:ascii="Calibri" w:hAnsi="Calibri"/>
                <w:b/>
              </w:rPr>
              <w:t xml:space="preserve">Collaboration, </w:t>
            </w:r>
            <w:r>
              <w:rPr>
                <w:rFonts w:ascii="Calibri" w:hAnsi="Calibri"/>
                <w:b/>
              </w:rPr>
              <w:t>c</w:t>
            </w:r>
            <w:r w:rsidRPr="00E0250E">
              <w:rPr>
                <w:rFonts w:ascii="Calibri" w:hAnsi="Calibri"/>
                <w:b/>
              </w:rPr>
              <w:t xml:space="preserve">onsistency and </w:t>
            </w:r>
            <w:r>
              <w:rPr>
                <w:rFonts w:ascii="Calibri" w:hAnsi="Calibri"/>
                <w:b/>
              </w:rPr>
              <w:t>c</w:t>
            </w:r>
            <w:r w:rsidRPr="00E0250E">
              <w:rPr>
                <w:rFonts w:ascii="Calibri" w:hAnsi="Calibri"/>
                <w:b/>
              </w:rPr>
              <w:t>onsequences</w:t>
            </w:r>
          </w:p>
        </w:tc>
        <w:tc>
          <w:tcPr>
            <w:tcW w:w="7292" w:type="dxa"/>
            <w:shd w:val="clear" w:color="auto" w:fill="auto"/>
          </w:tcPr>
          <w:p w14:paraId="7BD3E060" w14:textId="77777777" w:rsidR="00E0250E" w:rsidRPr="001052BE" w:rsidRDefault="00E0250E" w:rsidP="00E0250E">
            <w:pPr>
              <w:numPr>
                <w:ilvl w:val="0"/>
                <w:numId w:val="1"/>
              </w:numPr>
              <w:spacing w:line="240" w:lineRule="auto"/>
              <w:ind w:left="357" w:hanging="357"/>
              <w:jc w:val="both"/>
              <w:rPr>
                <w:rFonts w:ascii="Calibri" w:hAnsi="Calibri"/>
                <w:b/>
                <w:bCs/>
                <w:i/>
                <w:iCs/>
              </w:rPr>
            </w:pPr>
            <w:r w:rsidRPr="001052BE">
              <w:rPr>
                <w:rFonts w:ascii="Calibri" w:hAnsi="Calibri"/>
                <w:b/>
              </w:rPr>
              <w:t>Use of school policy:</w:t>
            </w:r>
            <w:r w:rsidRPr="001052BE">
              <w:rPr>
                <w:rFonts w:ascii="Calibri" w:hAnsi="Calibri"/>
              </w:rPr>
              <w:t xml:space="preserve"> If appropriate, remind pupils of the school behaviour policy and the expectations linked to this.</w:t>
            </w:r>
          </w:p>
          <w:p w14:paraId="0A53CE3F" w14:textId="77777777" w:rsidR="00E0250E" w:rsidRPr="001052BE" w:rsidRDefault="00E0250E" w:rsidP="00E0250E">
            <w:pPr>
              <w:numPr>
                <w:ilvl w:val="0"/>
                <w:numId w:val="3"/>
              </w:numPr>
              <w:spacing w:line="240" w:lineRule="auto"/>
              <w:ind w:left="357" w:hanging="357"/>
              <w:jc w:val="both"/>
              <w:rPr>
                <w:rFonts w:ascii="Calibri" w:hAnsi="Calibri"/>
                <w:b/>
                <w:bCs/>
                <w:i/>
                <w:iCs/>
              </w:rPr>
            </w:pPr>
            <w:r w:rsidRPr="001052BE">
              <w:rPr>
                <w:rFonts w:ascii="Calibri" w:hAnsi="Calibri"/>
                <w:b/>
              </w:rPr>
              <w:t>Teacher/pupils:</w:t>
            </w:r>
            <w:r w:rsidRPr="001052BE">
              <w:rPr>
                <w:rFonts w:ascii="Calibri" w:hAnsi="Calibri"/>
              </w:rPr>
              <w:t xml:space="preserve"> It is important to draft a mutually agreed behaviour checklist as a starting point for lessons and develop classroom routines. (Chapter 14, ‘Teaching to Promote Positive Behaviour’ in Capel and Breckon (2014), offers some good advice and practical strategies for implementing these.)</w:t>
            </w:r>
          </w:p>
          <w:p w14:paraId="4C1BF4AB" w14:textId="77777777" w:rsidR="00E0250E" w:rsidRPr="001052BE" w:rsidRDefault="00E0250E" w:rsidP="00E0250E">
            <w:pPr>
              <w:numPr>
                <w:ilvl w:val="0"/>
                <w:numId w:val="3"/>
              </w:numPr>
              <w:spacing w:line="240" w:lineRule="auto"/>
              <w:ind w:left="357" w:hanging="357"/>
              <w:jc w:val="both"/>
              <w:rPr>
                <w:rFonts w:ascii="Calibri" w:hAnsi="Calibri"/>
                <w:b/>
                <w:bCs/>
                <w:i/>
                <w:iCs/>
              </w:rPr>
            </w:pPr>
            <w:r w:rsidRPr="001052BE">
              <w:rPr>
                <w:rFonts w:ascii="Calibri" w:hAnsi="Calibri"/>
                <w:b/>
              </w:rPr>
              <w:t>Teacher/teacher:</w:t>
            </w:r>
            <w:r w:rsidRPr="001052BE">
              <w:rPr>
                <w:rFonts w:ascii="Calibri" w:hAnsi="Calibri"/>
              </w:rPr>
              <w:t xml:space="preserve"> School behaviour policies are written so that teachers have a consistent approach when dealing with negative behaviour and pupils are aware of the consequences of their actions. It is important therefore that you are aware of the policy and are consistent when enforcing it.</w:t>
            </w:r>
          </w:p>
          <w:p w14:paraId="2978AAC5" w14:textId="67861D49" w:rsidR="00E0250E" w:rsidRPr="001052BE" w:rsidRDefault="00E0250E" w:rsidP="00E0250E">
            <w:pPr>
              <w:numPr>
                <w:ilvl w:val="0"/>
                <w:numId w:val="3"/>
              </w:numPr>
              <w:spacing w:line="240" w:lineRule="auto"/>
              <w:ind w:left="357" w:hanging="357"/>
              <w:jc w:val="both"/>
              <w:rPr>
                <w:rFonts w:ascii="Calibri" w:hAnsi="Calibri"/>
                <w:b/>
                <w:bCs/>
                <w:i/>
                <w:iCs/>
              </w:rPr>
            </w:pPr>
            <w:r w:rsidRPr="001052BE">
              <w:rPr>
                <w:rFonts w:ascii="Calibri" w:hAnsi="Calibri"/>
                <w:b/>
              </w:rPr>
              <w:t xml:space="preserve">If you state a consequence, you must ensure that you follow through: </w:t>
            </w:r>
            <w:r w:rsidRPr="001052BE">
              <w:rPr>
                <w:rFonts w:ascii="Calibri" w:hAnsi="Calibri"/>
              </w:rPr>
              <w:t>e.g. if you warn a pupil that a consequence of their behaviour will mean that they will lose five minutes of their lunchtime, then you need to be prepared to action this.</w:t>
            </w:r>
          </w:p>
        </w:tc>
      </w:tr>
      <w:tr w:rsidR="00E968FB" w:rsidRPr="00623C74" w14:paraId="65E81EAF" w14:textId="77777777" w:rsidTr="00E0250E">
        <w:tc>
          <w:tcPr>
            <w:tcW w:w="1950" w:type="dxa"/>
            <w:shd w:val="clear" w:color="auto" w:fill="auto"/>
          </w:tcPr>
          <w:p w14:paraId="3B4EE808" w14:textId="096AC380" w:rsidR="00E968FB" w:rsidRPr="00623C74" w:rsidRDefault="00E968FB" w:rsidP="00E0250E">
            <w:pPr>
              <w:spacing w:line="240" w:lineRule="auto"/>
              <w:jc w:val="both"/>
              <w:rPr>
                <w:rFonts w:ascii="Calibri" w:hAnsi="Calibri"/>
                <w:b/>
                <w:bCs/>
                <w:i/>
                <w:iCs/>
              </w:rPr>
            </w:pPr>
            <w:r w:rsidRPr="00E0250E">
              <w:rPr>
                <w:rFonts w:ascii="Calibri" w:hAnsi="Calibri"/>
                <w:b/>
              </w:rPr>
              <w:t xml:space="preserve">Personal </w:t>
            </w:r>
            <w:r w:rsidR="00000BDD">
              <w:rPr>
                <w:rFonts w:ascii="Calibri" w:hAnsi="Calibri"/>
                <w:b/>
              </w:rPr>
              <w:t>c</w:t>
            </w:r>
            <w:r w:rsidRPr="00E0250E">
              <w:rPr>
                <w:rFonts w:ascii="Calibri" w:hAnsi="Calibri"/>
                <w:b/>
              </w:rPr>
              <w:t>hecklist</w:t>
            </w:r>
          </w:p>
        </w:tc>
        <w:tc>
          <w:tcPr>
            <w:tcW w:w="7292" w:type="dxa"/>
            <w:shd w:val="clear" w:color="auto" w:fill="auto"/>
          </w:tcPr>
          <w:p w14:paraId="5D28538C" w14:textId="63CC2DF1" w:rsidR="00E968FB" w:rsidRPr="001052BE" w:rsidRDefault="00E968FB" w:rsidP="00E0250E">
            <w:pPr>
              <w:spacing w:line="240" w:lineRule="auto"/>
              <w:ind w:left="357" w:hanging="357"/>
              <w:jc w:val="both"/>
              <w:rPr>
                <w:rFonts w:ascii="Calibri" w:hAnsi="Calibri"/>
                <w:b/>
                <w:bCs/>
                <w:i/>
                <w:iCs/>
                <w:color w:val="auto"/>
              </w:rPr>
            </w:pPr>
            <w:r w:rsidRPr="001052BE">
              <w:rPr>
                <w:rFonts w:ascii="Calibri" w:hAnsi="Calibri"/>
                <w:bCs/>
                <w:color w:val="auto"/>
              </w:rPr>
              <w:t>‘SOCKS</w:t>
            </w:r>
            <w:r w:rsidR="00C91D7E" w:rsidRPr="001052BE">
              <w:rPr>
                <w:rFonts w:ascii="Calibri" w:hAnsi="Calibri"/>
                <w:bCs/>
                <w:color w:val="auto"/>
              </w:rPr>
              <w:t xml:space="preserve"> </w:t>
            </w:r>
            <w:r w:rsidRPr="001052BE">
              <w:rPr>
                <w:rFonts w:ascii="Calibri" w:hAnsi="Calibri"/>
                <w:bCs/>
                <w:color w:val="auto"/>
              </w:rPr>
              <w:t>UP’ (Sh</w:t>
            </w:r>
            <w:r w:rsidR="005F1A4F" w:rsidRPr="001052BE">
              <w:rPr>
                <w:rFonts w:ascii="Calibri" w:hAnsi="Calibri"/>
                <w:bCs/>
                <w:color w:val="auto"/>
              </w:rPr>
              <w:t>uc</w:t>
            </w:r>
            <w:r w:rsidRPr="001052BE">
              <w:rPr>
                <w:rFonts w:ascii="Calibri" w:hAnsi="Calibri"/>
                <w:bCs/>
                <w:color w:val="auto"/>
              </w:rPr>
              <w:t>k, 2009 cited in Meldrum and Peters 2012</w:t>
            </w:r>
            <w:r w:rsidR="00000BDD" w:rsidRPr="001052BE">
              <w:rPr>
                <w:rFonts w:ascii="Calibri" w:hAnsi="Calibri"/>
                <w:bCs/>
                <w:color w:val="auto"/>
              </w:rPr>
              <w:t>,</w:t>
            </w:r>
            <w:r w:rsidRPr="001052BE">
              <w:rPr>
                <w:rFonts w:ascii="Calibri" w:hAnsi="Calibri"/>
                <w:bCs/>
                <w:color w:val="auto"/>
              </w:rPr>
              <w:t xml:space="preserve"> p</w:t>
            </w:r>
            <w:r w:rsidR="00000BDD" w:rsidRPr="001052BE">
              <w:rPr>
                <w:rFonts w:ascii="Calibri" w:hAnsi="Calibri"/>
                <w:bCs/>
                <w:color w:val="auto"/>
              </w:rPr>
              <w:t xml:space="preserve">. </w:t>
            </w:r>
            <w:r w:rsidRPr="001052BE">
              <w:rPr>
                <w:rFonts w:ascii="Calibri" w:hAnsi="Calibri"/>
                <w:bCs/>
                <w:color w:val="auto"/>
              </w:rPr>
              <w:t xml:space="preserve">127) </w:t>
            </w:r>
          </w:p>
          <w:p w14:paraId="6F19F720" w14:textId="2B0B5689" w:rsidR="00E968FB" w:rsidRPr="001052BE" w:rsidRDefault="00E968FB" w:rsidP="00E0250E">
            <w:pPr>
              <w:numPr>
                <w:ilvl w:val="0"/>
                <w:numId w:val="2"/>
              </w:numPr>
              <w:spacing w:line="240" w:lineRule="auto"/>
              <w:ind w:left="357" w:hanging="357"/>
              <w:jc w:val="both"/>
              <w:rPr>
                <w:rFonts w:ascii="Calibri" w:hAnsi="Calibri"/>
                <w:b/>
                <w:bCs/>
                <w:i/>
                <w:iCs/>
                <w:color w:val="auto"/>
              </w:rPr>
            </w:pPr>
            <w:r w:rsidRPr="001052BE">
              <w:rPr>
                <w:rFonts w:ascii="Calibri" w:hAnsi="Calibri"/>
                <w:b/>
                <w:bCs/>
                <w:color w:val="auto"/>
              </w:rPr>
              <w:t>S</w:t>
            </w:r>
            <w:r w:rsidRPr="001052BE">
              <w:rPr>
                <w:rFonts w:ascii="Calibri" w:hAnsi="Calibri"/>
                <w:bCs/>
                <w:color w:val="auto"/>
              </w:rPr>
              <w:t>afety – relates to lesson content, pupils, equipment and environment</w:t>
            </w:r>
            <w:r w:rsidR="00C91D7E" w:rsidRPr="001052BE">
              <w:rPr>
                <w:rFonts w:ascii="Calibri" w:hAnsi="Calibri"/>
                <w:bCs/>
                <w:color w:val="auto"/>
              </w:rPr>
              <w:t>.</w:t>
            </w:r>
          </w:p>
          <w:p w14:paraId="522A7B96" w14:textId="6D039365" w:rsidR="00E968FB" w:rsidRPr="001052BE" w:rsidRDefault="00E968FB" w:rsidP="00E0250E">
            <w:pPr>
              <w:numPr>
                <w:ilvl w:val="0"/>
                <w:numId w:val="2"/>
              </w:numPr>
              <w:spacing w:line="240" w:lineRule="auto"/>
              <w:ind w:left="357" w:hanging="357"/>
              <w:jc w:val="both"/>
              <w:rPr>
                <w:rFonts w:ascii="Calibri" w:hAnsi="Calibri"/>
                <w:b/>
                <w:bCs/>
                <w:i/>
                <w:iCs/>
                <w:color w:val="auto"/>
              </w:rPr>
            </w:pPr>
            <w:r w:rsidRPr="001052BE">
              <w:rPr>
                <w:rFonts w:ascii="Calibri" w:hAnsi="Calibri"/>
                <w:b/>
                <w:bCs/>
                <w:color w:val="auto"/>
              </w:rPr>
              <w:t>O</w:t>
            </w:r>
            <w:r w:rsidRPr="001052BE">
              <w:rPr>
                <w:rFonts w:ascii="Calibri" w:hAnsi="Calibri"/>
                <w:bCs/>
                <w:color w:val="auto"/>
              </w:rPr>
              <w:t>rganisation – pupils (set expectations about behaviour), plan transitions between activities, groupings, preparing for use of equipment, use of space etc.</w:t>
            </w:r>
          </w:p>
          <w:p w14:paraId="42D41829" w14:textId="3D3A6A6D" w:rsidR="00E968FB" w:rsidRPr="001052BE" w:rsidRDefault="00E968FB" w:rsidP="00E0250E">
            <w:pPr>
              <w:numPr>
                <w:ilvl w:val="0"/>
                <w:numId w:val="2"/>
              </w:numPr>
              <w:spacing w:line="240" w:lineRule="auto"/>
              <w:ind w:left="357" w:hanging="357"/>
              <w:jc w:val="both"/>
              <w:rPr>
                <w:rFonts w:ascii="Calibri" w:hAnsi="Calibri"/>
                <w:b/>
                <w:bCs/>
                <w:i/>
                <w:iCs/>
                <w:color w:val="auto"/>
              </w:rPr>
            </w:pPr>
            <w:r w:rsidRPr="001052BE">
              <w:rPr>
                <w:rFonts w:ascii="Calibri" w:hAnsi="Calibri"/>
                <w:b/>
                <w:bCs/>
                <w:color w:val="auto"/>
              </w:rPr>
              <w:t>C</w:t>
            </w:r>
            <w:r w:rsidRPr="001052BE">
              <w:rPr>
                <w:rFonts w:ascii="Calibri" w:hAnsi="Calibri"/>
                <w:bCs/>
                <w:color w:val="auto"/>
              </w:rPr>
              <w:t>hallenge – planning learning at the appropriate level to keep pupils engaged and making progress, planning for differentiation to ensure all are included, the most able and those who may have difficulty in learning</w:t>
            </w:r>
            <w:r w:rsidR="00C91D7E" w:rsidRPr="001052BE">
              <w:rPr>
                <w:rFonts w:ascii="Calibri" w:hAnsi="Calibri"/>
                <w:bCs/>
                <w:color w:val="auto"/>
              </w:rPr>
              <w:t>.</w:t>
            </w:r>
            <w:r w:rsidRPr="001052BE">
              <w:rPr>
                <w:rFonts w:ascii="Calibri" w:hAnsi="Calibri"/>
                <w:bCs/>
                <w:color w:val="auto"/>
              </w:rPr>
              <w:t xml:space="preserve"> </w:t>
            </w:r>
          </w:p>
          <w:p w14:paraId="5DAFC199" w14:textId="2752DCAD" w:rsidR="00E968FB" w:rsidRPr="001052BE" w:rsidRDefault="00E968FB" w:rsidP="00E0250E">
            <w:pPr>
              <w:numPr>
                <w:ilvl w:val="0"/>
                <w:numId w:val="2"/>
              </w:numPr>
              <w:spacing w:line="240" w:lineRule="auto"/>
              <w:ind w:left="357" w:hanging="357"/>
              <w:jc w:val="both"/>
              <w:rPr>
                <w:rFonts w:ascii="Calibri" w:hAnsi="Calibri"/>
                <w:b/>
                <w:bCs/>
                <w:i/>
                <w:iCs/>
                <w:color w:val="auto"/>
              </w:rPr>
            </w:pPr>
            <w:r w:rsidRPr="001052BE">
              <w:rPr>
                <w:rFonts w:ascii="Calibri" w:hAnsi="Calibri"/>
                <w:b/>
                <w:bCs/>
                <w:color w:val="auto"/>
              </w:rPr>
              <w:t>K</w:t>
            </w:r>
            <w:r w:rsidRPr="001052BE">
              <w:rPr>
                <w:rFonts w:ascii="Calibri" w:hAnsi="Calibri"/>
                <w:bCs/>
                <w:color w:val="auto"/>
              </w:rPr>
              <w:t xml:space="preserve">ey instructions – keep them simple and concise, use demonstrations, IT, task cards, </w:t>
            </w:r>
            <w:r w:rsidR="00000BDD" w:rsidRPr="001052BE">
              <w:rPr>
                <w:rFonts w:ascii="Calibri" w:hAnsi="Calibri"/>
                <w:bCs/>
                <w:color w:val="auto"/>
              </w:rPr>
              <w:t>m</w:t>
            </w:r>
            <w:r w:rsidRPr="001052BE">
              <w:rPr>
                <w:rFonts w:ascii="Calibri" w:hAnsi="Calibri"/>
                <w:bCs/>
                <w:color w:val="auto"/>
              </w:rPr>
              <w:t xml:space="preserve">obile </w:t>
            </w:r>
            <w:r w:rsidR="00000BDD" w:rsidRPr="001052BE">
              <w:rPr>
                <w:rFonts w:ascii="Calibri" w:hAnsi="Calibri"/>
                <w:bCs/>
                <w:color w:val="auto"/>
              </w:rPr>
              <w:t>a</w:t>
            </w:r>
            <w:r w:rsidRPr="001052BE">
              <w:rPr>
                <w:rFonts w:ascii="Calibri" w:hAnsi="Calibri"/>
                <w:bCs/>
                <w:color w:val="auto"/>
              </w:rPr>
              <w:t>pplications (</w:t>
            </w:r>
            <w:r w:rsidR="00000BDD" w:rsidRPr="001052BE">
              <w:rPr>
                <w:rFonts w:ascii="Calibri" w:hAnsi="Calibri"/>
                <w:bCs/>
                <w:color w:val="auto"/>
              </w:rPr>
              <w:t>a</w:t>
            </w:r>
            <w:r w:rsidRPr="001052BE">
              <w:rPr>
                <w:rFonts w:ascii="Calibri" w:hAnsi="Calibri"/>
                <w:bCs/>
                <w:color w:val="auto"/>
              </w:rPr>
              <w:t>pps)</w:t>
            </w:r>
            <w:r w:rsidR="00000BDD" w:rsidRPr="001052BE">
              <w:rPr>
                <w:rFonts w:ascii="Calibri" w:hAnsi="Calibri"/>
                <w:bCs/>
                <w:color w:val="auto"/>
              </w:rPr>
              <w:t>,</w:t>
            </w:r>
            <w:r w:rsidRPr="001052BE">
              <w:rPr>
                <w:rFonts w:ascii="Calibri" w:hAnsi="Calibri"/>
                <w:bCs/>
                <w:color w:val="auto"/>
              </w:rPr>
              <w:t xml:space="preserve"> etc</w:t>
            </w:r>
            <w:r w:rsidR="00000BDD" w:rsidRPr="001052BE">
              <w:rPr>
                <w:rFonts w:ascii="Calibri" w:hAnsi="Calibri"/>
                <w:bCs/>
                <w:color w:val="auto"/>
              </w:rPr>
              <w:t>.</w:t>
            </w:r>
            <w:r w:rsidRPr="001052BE">
              <w:rPr>
                <w:rFonts w:ascii="Calibri" w:hAnsi="Calibri"/>
                <w:bCs/>
                <w:color w:val="auto"/>
              </w:rPr>
              <w:t xml:space="preserve"> to help clarify and address all types of learners</w:t>
            </w:r>
            <w:r w:rsidR="00C91D7E" w:rsidRPr="001052BE">
              <w:rPr>
                <w:rFonts w:ascii="Calibri" w:hAnsi="Calibri"/>
                <w:bCs/>
                <w:color w:val="auto"/>
              </w:rPr>
              <w:t>.</w:t>
            </w:r>
          </w:p>
          <w:p w14:paraId="3AA2E938" w14:textId="30E891B8" w:rsidR="00E968FB" w:rsidRPr="001052BE" w:rsidRDefault="00E968FB" w:rsidP="00E0250E">
            <w:pPr>
              <w:numPr>
                <w:ilvl w:val="0"/>
                <w:numId w:val="2"/>
              </w:numPr>
              <w:spacing w:line="240" w:lineRule="auto"/>
              <w:ind w:left="357" w:hanging="357"/>
              <w:jc w:val="both"/>
              <w:rPr>
                <w:rFonts w:ascii="Calibri" w:hAnsi="Calibri"/>
                <w:b/>
                <w:bCs/>
                <w:i/>
                <w:iCs/>
                <w:color w:val="auto"/>
              </w:rPr>
            </w:pPr>
            <w:r w:rsidRPr="001052BE">
              <w:rPr>
                <w:rFonts w:ascii="Calibri" w:hAnsi="Calibri"/>
                <w:b/>
                <w:bCs/>
                <w:color w:val="auto"/>
              </w:rPr>
              <w:t>S</w:t>
            </w:r>
            <w:r w:rsidRPr="001052BE">
              <w:rPr>
                <w:rFonts w:ascii="Calibri" w:hAnsi="Calibri"/>
                <w:bCs/>
                <w:color w:val="auto"/>
              </w:rPr>
              <w:t>mile – create a happy and positive environment</w:t>
            </w:r>
            <w:r w:rsidR="00C91D7E" w:rsidRPr="001052BE">
              <w:rPr>
                <w:rFonts w:ascii="Calibri" w:hAnsi="Calibri"/>
                <w:bCs/>
                <w:color w:val="auto"/>
              </w:rPr>
              <w:t>.</w:t>
            </w:r>
          </w:p>
          <w:p w14:paraId="16D9CCA2" w14:textId="40BEC92B" w:rsidR="00E968FB" w:rsidRPr="001052BE" w:rsidRDefault="00E968FB" w:rsidP="00E0250E">
            <w:pPr>
              <w:numPr>
                <w:ilvl w:val="0"/>
                <w:numId w:val="2"/>
              </w:numPr>
              <w:spacing w:line="240" w:lineRule="auto"/>
              <w:ind w:left="357" w:hanging="357"/>
              <w:jc w:val="both"/>
              <w:rPr>
                <w:rFonts w:ascii="Calibri" w:hAnsi="Calibri"/>
                <w:b/>
                <w:bCs/>
                <w:i/>
                <w:iCs/>
                <w:color w:val="auto"/>
              </w:rPr>
            </w:pPr>
            <w:r w:rsidRPr="001052BE">
              <w:rPr>
                <w:rFonts w:ascii="Calibri" w:hAnsi="Calibri"/>
                <w:b/>
                <w:bCs/>
                <w:color w:val="auto"/>
              </w:rPr>
              <w:t>U</w:t>
            </w:r>
            <w:r w:rsidRPr="001052BE">
              <w:rPr>
                <w:rFonts w:ascii="Calibri" w:hAnsi="Calibri"/>
                <w:bCs/>
                <w:color w:val="auto"/>
              </w:rPr>
              <w:t>nderstanding – know what level of skill, knowledge and understanding your pupils have, consider prior learning, knowledge transfer between activities, questioning to check understanding, assess learning and promote higher</w:t>
            </w:r>
            <w:r w:rsidR="0089281A" w:rsidRPr="001052BE">
              <w:rPr>
                <w:rFonts w:ascii="Calibri" w:hAnsi="Calibri"/>
                <w:bCs/>
                <w:color w:val="auto"/>
              </w:rPr>
              <w:t>-</w:t>
            </w:r>
            <w:r w:rsidRPr="001052BE">
              <w:rPr>
                <w:rFonts w:ascii="Calibri" w:hAnsi="Calibri"/>
                <w:bCs/>
                <w:color w:val="auto"/>
              </w:rPr>
              <w:t>order thinking skills</w:t>
            </w:r>
            <w:r w:rsidR="00C91D7E" w:rsidRPr="001052BE">
              <w:rPr>
                <w:rFonts w:ascii="Calibri" w:hAnsi="Calibri"/>
                <w:bCs/>
                <w:color w:val="auto"/>
              </w:rPr>
              <w:t>.</w:t>
            </w:r>
            <w:r w:rsidRPr="001052BE">
              <w:rPr>
                <w:rFonts w:ascii="Calibri" w:hAnsi="Calibri"/>
                <w:bCs/>
                <w:color w:val="auto"/>
              </w:rPr>
              <w:t xml:space="preserve"> </w:t>
            </w:r>
          </w:p>
          <w:p w14:paraId="3C8C1AAC" w14:textId="595C294B" w:rsidR="00E968FB" w:rsidRPr="001052BE" w:rsidRDefault="00E968FB" w:rsidP="00E0250E">
            <w:pPr>
              <w:numPr>
                <w:ilvl w:val="0"/>
                <w:numId w:val="2"/>
              </w:numPr>
              <w:spacing w:line="240" w:lineRule="auto"/>
              <w:ind w:left="357" w:hanging="357"/>
              <w:jc w:val="both"/>
              <w:rPr>
                <w:rFonts w:ascii="Calibri" w:hAnsi="Calibri"/>
                <w:b/>
                <w:bCs/>
                <w:i/>
                <w:iCs/>
                <w:color w:val="auto"/>
              </w:rPr>
            </w:pPr>
            <w:r w:rsidRPr="001052BE">
              <w:rPr>
                <w:rFonts w:ascii="Calibri" w:hAnsi="Calibri"/>
                <w:b/>
                <w:bCs/>
                <w:color w:val="auto"/>
              </w:rPr>
              <w:t>P</w:t>
            </w:r>
            <w:r w:rsidRPr="001052BE">
              <w:rPr>
                <w:rFonts w:ascii="Calibri" w:hAnsi="Calibri"/>
                <w:bCs/>
                <w:color w:val="auto"/>
              </w:rPr>
              <w:t>articipation – ensure you create an inclusive and active learning environment</w:t>
            </w:r>
            <w:r w:rsidR="0089281A" w:rsidRPr="001052BE">
              <w:rPr>
                <w:rFonts w:ascii="Calibri" w:hAnsi="Calibri"/>
                <w:bCs/>
                <w:color w:val="auto"/>
              </w:rPr>
              <w:t>.</w:t>
            </w:r>
          </w:p>
        </w:tc>
      </w:tr>
    </w:tbl>
    <w:p w14:paraId="5B7059C5" w14:textId="77777777" w:rsidR="004F763A" w:rsidRDefault="004F763A" w:rsidP="004F763A">
      <w:pPr>
        <w:spacing w:line="240" w:lineRule="auto"/>
        <w:rPr>
          <w:rFonts w:asciiTheme="minorHAnsi" w:hAnsiTheme="minorHAnsi" w:cstheme="minorHAnsi"/>
          <w:color w:val="auto"/>
          <w:sz w:val="16"/>
          <w:szCs w:val="16"/>
        </w:rPr>
      </w:pPr>
    </w:p>
    <w:p w14:paraId="14EE167D" w14:textId="217688F1" w:rsidR="009A5347" w:rsidRPr="004F763A" w:rsidRDefault="004F763A" w:rsidP="004F763A">
      <w:pPr>
        <w:spacing w:line="240" w:lineRule="auto"/>
        <w:rPr>
          <w:sz w:val="16"/>
          <w:szCs w:val="16"/>
        </w:rPr>
      </w:pPr>
      <w:bookmarkStart w:id="0" w:name="_GoBack"/>
      <w:bookmarkEnd w:id="0"/>
      <w:r w:rsidRPr="004F763A">
        <w:rPr>
          <w:rFonts w:asciiTheme="minorHAnsi" w:hAnsiTheme="minorHAnsi" w:cstheme="minorHAnsi"/>
          <w:color w:val="auto"/>
          <w:sz w:val="16"/>
          <w:szCs w:val="16"/>
        </w:rPr>
        <w:t>Shuck, L. (2009) ‘SOCKS-UP – How to develop a safe and engaging physical education learning space.’ Unpublished manuscript cited in </w:t>
      </w:r>
      <w:r w:rsidRPr="004F763A">
        <w:rPr>
          <w:rFonts w:asciiTheme="minorHAnsi" w:hAnsiTheme="minorHAnsi" w:cstheme="minorHAnsi"/>
          <w:color w:val="auto"/>
          <w:sz w:val="16"/>
          <w:szCs w:val="16"/>
        </w:rPr>
        <w:t xml:space="preserve">‘The health and physical education learning environment’ in K. </w:t>
      </w:r>
      <w:r w:rsidRPr="004F763A">
        <w:rPr>
          <w:rFonts w:asciiTheme="minorHAnsi" w:hAnsiTheme="minorHAnsi" w:cstheme="minorHAnsi"/>
          <w:color w:val="auto"/>
          <w:sz w:val="16"/>
          <w:szCs w:val="16"/>
        </w:rPr>
        <w:t>Meldrum and  </w:t>
      </w:r>
      <w:r w:rsidRPr="004F763A">
        <w:rPr>
          <w:rFonts w:asciiTheme="minorHAnsi" w:hAnsiTheme="minorHAnsi" w:cstheme="minorHAnsi"/>
          <w:color w:val="auto"/>
          <w:sz w:val="16"/>
          <w:szCs w:val="16"/>
        </w:rPr>
        <w:t xml:space="preserve">J. </w:t>
      </w:r>
      <w:r w:rsidRPr="004F763A">
        <w:rPr>
          <w:rFonts w:asciiTheme="minorHAnsi" w:hAnsiTheme="minorHAnsi" w:cstheme="minorHAnsi"/>
          <w:color w:val="auto"/>
          <w:sz w:val="16"/>
          <w:szCs w:val="16"/>
        </w:rPr>
        <w:t>Peters</w:t>
      </w:r>
      <w:r w:rsidRPr="004F763A">
        <w:rPr>
          <w:rFonts w:asciiTheme="minorHAnsi" w:hAnsiTheme="minorHAnsi" w:cstheme="minorHAnsi"/>
          <w:color w:val="auto"/>
          <w:sz w:val="16"/>
          <w:szCs w:val="16"/>
        </w:rPr>
        <w:t xml:space="preserve"> (2012) </w:t>
      </w:r>
      <w:r w:rsidRPr="004F763A">
        <w:rPr>
          <w:rFonts w:asciiTheme="minorHAnsi" w:hAnsiTheme="minorHAnsi" w:cstheme="minorHAnsi"/>
          <w:color w:val="auto"/>
          <w:sz w:val="16"/>
          <w:szCs w:val="16"/>
        </w:rPr>
        <w:t>Learning</w:t>
      </w:r>
      <w:r w:rsidRPr="004F763A">
        <w:rPr>
          <w:rFonts w:asciiTheme="minorHAnsi" w:hAnsiTheme="minorHAnsi" w:cstheme="minorHAnsi"/>
          <w:color w:val="auto"/>
          <w:sz w:val="16"/>
          <w:szCs w:val="16"/>
        </w:rPr>
        <w:t xml:space="preserve"> to T</w:t>
      </w:r>
      <w:r w:rsidRPr="004F763A">
        <w:rPr>
          <w:rFonts w:asciiTheme="minorHAnsi" w:hAnsiTheme="minorHAnsi" w:cstheme="minorHAnsi"/>
          <w:color w:val="auto"/>
          <w:sz w:val="16"/>
          <w:szCs w:val="16"/>
        </w:rPr>
        <w:t xml:space="preserve">each </w:t>
      </w:r>
      <w:r w:rsidRPr="004F763A">
        <w:rPr>
          <w:rFonts w:asciiTheme="minorHAnsi" w:hAnsiTheme="minorHAnsi" w:cstheme="minorHAnsi"/>
          <w:color w:val="auto"/>
          <w:sz w:val="16"/>
          <w:szCs w:val="16"/>
        </w:rPr>
        <w:t>H</w:t>
      </w:r>
      <w:r w:rsidRPr="004F763A">
        <w:rPr>
          <w:rFonts w:asciiTheme="minorHAnsi" w:hAnsiTheme="minorHAnsi" w:cstheme="minorHAnsi"/>
          <w:color w:val="auto"/>
          <w:sz w:val="16"/>
          <w:szCs w:val="16"/>
        </w:rPr>
        <w:t xml:space="preserve">ealth and </w:t>
      </w:r>
      <w:r w:rsidRPr="004F763A">
        <w:rPr>
          <w:rFonts w:asciiTheme="minorHAnsi" w:hAnsiTheme="minorHAnsi" w:cstheme="minorHAnsi"/>
          <w:color w:val="auto"/>
          <w:sz w:val="16"/>
          <w:szCs w:val="16"/>
        </w:rPr>
        <w:t>P</w:t>
      </w:r>
      <w:r w:rsidRPr="004F763A">
        <w:rPr>
          <w:rFonts w:asciiTheme="minorHAnsi" w:hAnsiTheme="minorHAnsi" w:cstheme="minorHAnsi"/>
          <w:color w:val="auto"/>
          <w:sz w:val="16"/>
          <w:szCs w:val="16"/>
        </w:rPr>
        <w:t xml:space="preserve">hysical </w:t>
      </w:r>
      <w:r w:rsidRPr="004F763A">
        <w:rPr>
          <w:rFonts w:asciiTheme="minorHAnsi" w:hAnsiTheme="minorHAnsi" w:cstheme="minorHAnsi"/>
          <w:color w:val="auto"/>
          <w:sz w:val="16"/>
          <w:szCs w:val="16"/>
        </w:rPr>
        <w:t>Education: T</w:t>
      </w:r>
      <w:r w:rsidRPr="004F763A">
        <w:rPr>
          <w:rFonts w:asciiTheme="minorHAnsi" w:hAnsiTheme="minorHAnsi" w:cstheme="minorHAnsi"/>
          <w:color w:val="auto"/>
          <w:sz w:val="16"/>
          <w:szCs w:val="16"/>
        </w:rPr>
        <w:t xml:space="preserve">he </w:t>
      </w:r>
      <w:r w:rsidRPr="004F763A">
        <w:rPr>
          <w:rFonts w:asciiTheme="minorHAnsi" w:hAnsiTheme="minorHAnsi" w:cstheme="minorHAnsi"/>
          <w:color w:val="auto"/>
          <w:sz w:val="16"/>
          <w:szCs w:val="16"/>
        </w:rPr>
        <w:t>S</w:t>
      </w:r>
      <w:r w:rsidRPr="004F763A">
        <w:rPr>
          <w:rFonts w:asciiTheme="minorHAnsi" w:hAnsiTheme="minorHAnsi" w:cstheme="minorHAnsi"/>
          <w:color w:val="auto"/>
          <w:sz w:val="16"/>
          <w:szCs w:val="16"/>
        </w:rPr>
        <w:t>tudent</w:t>
      </w:r>
      <w:r w:rsidRPr="004F763A">
        <w:rPr>
          <w:rFonts w:asciiTheme="minorHAnsi" w:hAnsiTheme="minorHAnsi" w:cstheme="minorHAnsi"/>
          <w:color w:val="auto"/>
          <w:sz w:val="16"/>
          <w:szCs w:val="16"/>
        </w:rPr>
        <w:t>,</w:t>
      </w:r>
      <w:r w:rsidRPr="004F763A">
        <w:rPr>
          <w:rFonts w:asciiTheme="minorHAnsi" w:hAnsiTheme="minorHAnsi" w:cstheme="minorHAnsi"/>
          <w:color w:val="auto"/>
          <w:sz w:val="16"/>
          <w:szCs w:val="16"/>
        </w:rPr>
        <w:t xml:space="preserve"> </w:t>
      </w:r>
      <w:r w:rsidRPr="004F763A">
        <w:rPr>
          <w:rFonts w:asciiTheme="minorHAnsi" w:hAnsiTheme="minorHAnsi" w:cstheme="minorHAnsi"/>
          <w:color w:val="auto"/>
          <w:sz w:val="16"/>
          <w:szCs w:val="16"/>
        </w:rPr>
        <w:t>t</w:t>
      </w:r>
      <w:r w:rsidRPr="004F763A">
        <w:rPr>
          <w:rFonts w:asciiTheme="minorHAnsi" w:hAnsiTheme="minorHAnsi" w:cstheme="minorHAnsi"/>
          <w:color w:val="auto"/>
          <w:sz w:val="16"/>
          <w:szCs w:val="16"/>
        </w:rPr>
        <w:t xml:space="preserve">he </w:t>
      </w:r>
      <w:r w:rsidRPr="004F763A">
        <w:rPr>
          <w:rFonts w:asciiTheme="minorHAnsi" w:hAnsiTheme="minorHAnsi" w:cstheme="minorHAnsi"/>
          <w:color w:val="auto"/>
          <w:sz w:val="16"/>
          <w:szCs w:val="16"/>
        </w:rPr>
        <w:t>T</w:t>
      </w:r>
      <w:r w:rsidRPr="004F763A">
        <w:rPr>
          <w:rFonts w:asciiTheme="minorHAnsi" w:hAnsiTheme="minorHAnsi" w:cstheme="minorHAnsi"/>
          <w:color w:val="auto"/>
          <w:sz w:val="16"/>
          <w:szCs w:val="16"/>
        </w:rPr>
        <w:t xml:space="preserve">eacher and the </w:t>
      </w:r>
      <w:r w:rsidRPr="004F763A">
        <w:rPr>
          <w:rFonts w:asciiTheme="minorHAnsi" w:hAnsiTheme="minorHAnsi" w:cstheme="minorHAnsi"/>
          <w:color w:val="auto"/>
          <w:sz w:val="16"/>
          <w:szCs w:val="16"/>
        </w:rPr>
        <w:t>C</w:t>
      </w:r>
      <w:r w:rsidRPr="004F763A">
        <w:rPr>
          <w:rFonts w:asciiTheme="minorHAnsi" w:hAnsiTheme="minorHAnsi" w:cstheme="minorHAnsi"/>
          <w:color w:val="auto"/>
          <w:sz w:val="16"/>
          <w:szCs w:val="16"/>
        </w:rPr>
        <w:t>urriculum</w:t>
      </w:r>
      <w:r w:rsidRPr="004F763A">
        <w:rPr>
          <w:rFonts w:asciiTheme="minorHAnsi" w:hAnsiTheme="minorHAnsi" w:cstheme="minorHAnsi"/>
          <w:color w:val="auto"/>
          <w:sz w:val="16"/>
          <w:szCs w:val="16"/>
        </w:rPr>
        <w:t>, Frenchs Forest, Australia: Pearson, pp. 122–143.</w:t>
      </w:r>
    </w:p>
    <w:sectPr w:rsidR="009A5347" w:rsidRPr="004F763A" w:rsidSect="009A534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DF1BD7" w14:textId="77777777" w:rsidR="00BC4351" w:rsidRDefault="00BC4351" w:rsidP="00BC4351">
      <w:pPr>
        <w:spacing w:line="240" w:lineRule="auto"/>
      </w:pPr>
      <w:r>
        <w:separator/>
      </w:r>
    </w:p>
  </w:endnote>
  <w:endnote w:type="continuationSeparator" w:id="0">
    <w:p w14:paraId="742F6F43" w14:textId="77777777" w:rsidR="00BC4351" w:rsidRDefault="00BC4351" w:rsidP="00BC43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330"/>
      <w:gridCol w:w="926"/>
    </w:tblGrid>
    <w:tr w:rsidR="00BC4351" w14:paraId="6BAE998B" w14:textId="77777777" w:rsidTr="004E3EDE">
      <w:tc>
        <w:tcPr>
          <w:tcW w:w="4500" w:type="pct"/>
          <w:tcBorders>
            <w:top w:val="single" w:sz="4" w:space="0" w:color="000000" w:themeColor="text1"/>
          </w:tcBorders>
        </w:tcPr>
        <w:p w14:paraId="2F390DB3" w14:textId="77777777" w:rsidR="00BC4351" w:rsidRPr="00E0250E" w:rsidRDefault="004F763A" w:rsidP="004E3EDE">
          <w:pPr>
            <w:pStyle w:val="Footer"/>
            <w:jc w:val="right"/>
            <w:rPr>
              <w:rFonts w:asciiTheme="majorHAnsi" w:hAnsiTheme="majorHAnsi" w:cstheme="minorHAnsi"/>
              <w:sz w:val="16"/>
            </w:rPr>
          </w:pPr>
          <w:sdt>
            <w:sdtPr>
              <w:rPr>
                <w:rFonts w:asciiTheme="minorHAnsi" w:hAnsiTheme="minorHAnsi" w:cstheme="minorHAnsi"/>
                <w:b/>
                <w:i/>
                <w:sz w:val="20"/>
              </w:rPr>
              <w:alias w:val="Company"/>
              <w:id w:val="75971759"/>
              <w:placeholder>
                <w:docPart w:val="FB3474869C714F2E900B4D619FE3512C"/>
              </w:placeholder>
              <w:dataBinding w:prefixMappings="xmlns:ns0='http://schemas.openxmlformats.org/officeDocument/2006/extended-properties'" w:xpath="/ns0:Properties[1]/ns0:Company[1]" w:storeItemID="{6668398D-A668-4E3E-A5EB-62B293D839F1}"/>
              <w:text/>
            </w:sdtPr>
            <w:sdtEndPr/>
            <w:sdtContent>
              <w:r w:rsidR="00BC4351" w:rsidRPr="0092280E">
                <w:rPr>
                  <w:rFonts w:asciiTheme="minorHAnsi" w:hAnsiTheme="minorHAnsi" w:cstheme="minorHAnsi"/>
                  <w:b/>
                  <w:i/>
                  <w:sz w:val="20"/>
                </w:rPr>
                <w:t>Learning to Teach Physical Education in the Secondary School, 4th Edition</w:t>
              </w:r>
            </w:sdtContent>
          </w:sdt>
          <w:r w:rsidR="00BC4351" w:rsidRPr="00E0250E">
            <w:rPr>
              <w:rFonts w:asciiTheme="majorHAnsi" w:hAnsiTheme="majorHAnsi" w:cstheme="minorHAnsi"/>
              <w:sz w:val="20"/>
            </w:rPr>
            <w:t xml:space="preserve"> </w:t>
          </w:r>
          <w:r w:rsidR="00BC4351" w:rsidRPr="00E0250E">
            <w:rPr>
              <w:rFonts w:asciiTheme="majorHAnsi" w:hAnsiTheme="majorHAnsi" w:cstheme="minorHAnsi"/>
              <w:sz w:val="16"/>
            </w:rPr>
            <w:t xml:space="preserve"> </w:t>
          </w:r>
        </w:p>
        <w:p w14:paraId="3ACF6617" w14:textId="77777777" w:rsidR="00623C74" w:rsidRPr="0092280E" w:rsidRDefault="00623C74" w:rsidP="00E0250E">
          <w:pPr>
            <w:jc w:val="right"/>
            <w:rPr>
              <w:rFonts w:asciiTheme="minorHAnsi" w:hAnsiTheme="minorHAnsi" w:cstheme="minorHAnsi"/>
              <w:sz w:val="16"/>
              <w:szCs w:val="16"/>
            </w:rPr>
          </w:pPr>
          <w:r w:rsidRPr="0092280E">
            <w:rPr>
              <w:rFonts w:asciiTheme="minorHAnsi" w:hAnsiTheme="minorHAnsi" w:cstheme="minorHAnsi"/>
              <w:sz w:val="16"/>
              <w:szCs w:val="16"/>
            </w:rPr>
            <w:t>© 2015 Susan Capel and Margaret Whitehead (eds)</w:t>
          </w:r>
        </w:p>
        <w:p w14:paraId="418C66EF" w14:textId="72385FD1" w:rsidR="00BC4351" w:rsidRPr="007C3644" w:rsidRDefault="00BC4351" w:rsidP="004E3EDE">
          <w:pPr>
            <w:pStyle w:val="Footer"/>
            <w:jc w:val="right"/>
            <w:rPr>
              <w:rFonts w:cstheme="minorHAnsi"/>
            </w:rPr>
          </w:pPr>
        </w:p>
      </w:tc>
      <w:tc>
        <w:tcPr>
          <w:tcW w:w="500" w:type="pct"/>
          <w:tcBorders>
            <w:top w:val="single" w:sz="4" w:space="0" w:color="C0504D" w:themeColor="accent2"/>
          </w:tcBorders>
          <w:shd w:val="clear" w:color="auto" w:fill="548DD4" w:themeFill="text2" w:themeFillTint="99"/>
        </w:tcPr>
        <w:p w14:paraId="4255ABDA" w14:textId="77777777" w:rsidR="00BC4351" w:rsidRPr="0092280E" w:rsidRDefault="00BC4351" w:rsidP="004E3EDE">
          <w:pPr>
            <w:pStyle w:val="Header"/>
            <w:rPr>
              <w:rFonts w:asciiTheme="minorHAnsi" w:hAnsiTheme="minorHAnsi" w:cstheme="minorHAnsi"/>
              <w:color w:val="FFFFFF" w:themeColor="background1"/>
            </w:rPr>
          </w:pPr>
          <w:r w:rsidRPr="0092280E">
            <w:rPr>
              <w:rFonts w:asciiTheme="minorHAnsi" w:hAnsiTheme="minorHAnsi" w:cstheme="minorHAnsi"/>
              <w:color w:val="auto"/>
            </w:rPr>
            <w:fldChar w:fldCharType="begin"/>
          </w:r>
          <w:r w:rsidRPr="0092280E">
            <w:rPr>
              <w:rFonts w:asciiTheme="minorHAnsi" w:hAnsiTheme="minorHAnsi" w:cstheme="minorHAnsi"/>
            </w:rPr>
            <w:instrText xml:space="preserve"> PAGE   \* MERGEFORMAT </w:instrText>
          </w:r>
          <w:r w:rsidRPr="0092280E">
            <w:rPr>
              <w:rFonts w:asciiTheme="minorHAnsi" w:hAnsiTheme="minorHAnsi" w:cstheme="minorHAnsi"/>
              <w:color w:val="auto"/>
            </w:rPr>
            <w:fldChar w:fldCharType="separate"/>
          </w:r>
          <w:r w:rsidR="004F763A" w:rsidRPr="004F763A">
            <w:rPr>
              <w:rFonts w:asciiTheme="minorHAnsi" w:hAnsiTheme="minorHAnsi" w:cstheme="minorHAnsi"/>
              <w:noProof/>
              <w:color w:val="FFFFFF" w:themeColor="background1"/>
            </w:rPr>
            <w:t>1</w:t>
          </w:r>
          <w:r w:rsidRPr="0092280E">
            <w:rPr>
              <w:rFonts w:asciiTheme="minorHAnsi" w:hAnsiTheme="minorHAnsi" w:cstheme="minorHAnsi"/>
              <w:noProof/>
              <w:color w:val="FFFFFF" w:themeColor="background1"/>
            </w:rPr>
            <w:fldChar w:fldCharType="end"/>
          </w:r>
        </w:p>
      </w:tc>
    </w:tr>
  </w:tbl>
  <w:p w14:paraId="2445510D" w14:textId="77777777" w:rsidR="00BC4351" w:rsidRPr="00BC4351" w:rsidRDefault="00BC4351" w:rsidP="00BC43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17701" w14:textId="77777777" w:rsidR="00BC4351" w:rsidRDefault="00BC4351" w:rsidP="00BC4351">
      <w:pPr>
        <w:spacing w:line="240" w:lineRule="auto"/>
      </w:pPr>
      <w:r>
        <w:separator/>
      </w:r>
    </w:p>
  </w:footnote>
  <w:footnote w:type="continuationSeparator" w:id="0">
    <w:p w14:paraId="33B57958" w14:textId="77777777" w:rsidR="00BC4351" w:rsidRDefault="00BC4351" w:rsidP="00BC435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7CA5"/>
    <w:multiLevelType w:val="hybridMultilevel"/>
    <w:tmpl w:val="2FEE3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D31533D"/>
    <w:multiLevelType w:val="hybridMultilevel"/>
    <w:tmpl w:val="0BB0B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67FF6878"/>
    <w:multiLevelType w:val="hybridMultilevel"/>
    <w:tmpl w:val="64847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968FB"/>
    <w:rsid w:val="00000BDD"/>
    <w:rsid w:val="001052BE"/>
    <w:rsid w:val="00153298"/>
    <w:rsid w:val="002025FE"/>
    <w:rsid w:val="004F763A"/>
    <w:rsid w:val="0058712E"/>
    <w:rsid w:val="005F1A4F"/>
    <w:rsid w:val="006154D6"/>
    <w:rsid w:val="00623C74"/>
    <w:rsid w:val="0089281A"/>
    <w:rsid w:val="00896299"/>
    <w:rsid w:val="0092280E"/>
    <w:rsid w:val="009A5347"/>
    <w:rsid w:val="00BC4351"/>
    <w:rsid w:val="00BE3882"/>
    <w:rsid w:val="00C07D00"/>
    <w:rsid w:val="00C22CA1"/>
    <w:rsid w:val="00C91D7E"/>
    <w:rsid w:val="00E0250E"/>
    <w:rsid w:val="00E968FB"/>
    <w:rsid w:val="00FA76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D8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FB"/>
    <w:pPr>
      <w:widowControl w:val="0"/>
      <w:autoSpaceDE w:val="0"/>
      <w:autoSpaceDN w:val="0"/>
      <w:adjustRightInd w:val="0"/>
      <w:spacing w:line="360" w:lineRule="auto"/>
      <w:textAlignment w:val="baseline"/>
    </w:pPr>
    <w:rPr>
      <w:rFonts w:ascii="Times New Roman" w:eastAsia="Times New Roman" w:hAnsi="Times New Roman" w:cs="Goudy Old Style"/>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E968FB"/>
    <w:rPr>
      <w:sz w:val="16"/>
      <w:szCs w:val="16"/>
    </w:rPr>
  </w:style>
  <w:style w:type="paragraph" w:styleId="CommentText">
    <w:name w:val="annotation text"/>
    <w:basedOn w:val="Normal"/>
    <w:link w:val="CommentTextChar"/>
    <w:rsid w:val="00E968FB"/>
    <w:rPr>
      <w:rFonts w:cs="Times New Roman"/>
      <w:sz w:val="20"/>
      <w:szCs w:val="20"/>
    </w:rPr>
  </w:style>
  <w:style w:type="character" w:customStyle="1" w:styleId="CommentTextChar">
    <w:name w:val="Comment Text Char"/>
    <w:basedOn w:val="DefaultParagraphFont"/>
    <w:link w:val="CommentText"/>
    <w:rsid w:val="00E968FB"/>
    <w:rPr>
      <w:rFonts w:ascii="Times New Roman" w:eastAsia="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E968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8FB"/>
    <w:rPr>
      <w:rFonts w:ascii="Tahoma" w:eastAsia="Times New Roman" w:hAnsi="Tahoma" w:cs="Tahoma"/>
      <w:color w:val="000000"/>
      <w:sz w:val="16"/>
      <w:szCs w:val="16"/>
    </w:rPr>
  </w:style>
  <w:style w:type="paragraph" w:styleId="Header">
    <w:name w:val="header"/>
    <w:basedOn w:val="Normal"/>
    <w:link w:val="HeaderChar"/>
    <w:uiPriority w:val="99"/>
    <w:unhideWhenUsed/>
    <w:rsid w:val="00BC4351"/>
    <w:pPr>
      <w:tabs>
        <w:tab w:val="center" w:pos="4513"/>
        <w:tab w:val="right" w:pos="9026"/>
      </w:tabs>
      <w:spacing w:line="240" w:lineRule="auto"/>
    </w:pPr>
  </w:style>
  <w:style w:type="character" w:customStyle="1" w:styleId="HeaderChar">
    <w:name w:val="Header Char"/>
    <w:basedOn w:val="DefaultParagraphFont"/>
    <w:link w:val="Header"/>
    <w:uiPriority w:val="99"/>
    <w:rsid w:val="00BC4351"/>
    <w:rPr>
      <w:rFonts w:ascii="Times New Roman" w:eastAsia="Times New Roman" w:hAnsi="Times New Roman" w:cs="Goudy Old Style"/>
      <w:color w:val="000000"/>
      <w:sz w:val="24"/>
      <w:szCs w:val="24"/>
    </w:rPr>
  </w:style>
  <w:style w:type="paragraph" w:styleId="Footer">
    <w:name w:val="footer"/>
    <w:basedOn w:val="Normal"/>
    <w:link w:val="FooterChar"/>
    <w:uiPriority w:val="99"/>
    <w:unhideWhenUsed/>
    <w:rsid w:val="00BC4351"/>
    <w:pPr>
      <w:tabs>
        <w:tab w:val="center" w:pos="4513"/>
        <w:tab w:val="right" w:pos="9026"/>
      </w:tabs>
      <w:spacing w:line="240" w:lineRule="auto"/>
    </w:pPr>
  </w:style>
  <w:style w:type="character" w:customStyle="1" w:styleId="FooterChar">
    <w:name w:val="Footer Char"/>
    <w:basedOn w:val="DefaultParagraphFont"/>
    <w:link w:val="Footer"/>
    <w:uiPriority w:val="99"/>
    <w:rsid w:val="00BC4351"/>
    <w:rPr>
      <w:rFonts w:ascii="Times New Roman" w:eastAsia="Times New Roman" w:hAnsi="Times New Roman" w:cs="Goudy Old Styl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B3474869C714F2E900B4D619FE3512C"/>
        <w:category>
          <w:name w:val="General"/>
          <w:gallery w:val="placeholder"/>
        </w:category>
        <w:types>
          <w:type w:val="bbPlcHdr"/>
        </w:types>
        <w:behaviors>
          <w:behavior w:val="content"/>
        </w:behaviors>
        <w:guid w:val="{A64B21BA-51B5-488E-9D6F-A722C2C26F39}"/>
      </w:docPartPr>
      <w:docPartBody>
        <w:p w:rsidR="00F51989" w:rsidRDefault="00AE7697" w:rsidP="00AE7697">
          <w:pPr>
            <w:pStyle w:val="FB3474869C714F2E900B4D619FE3512C"/>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697"/>
    <w:rsid w:val="00AE7697"/>
    <w:rsid w:val="00F519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E481F962814E7AAC1B670C819453E4">
    <w:name w:val="48E481F962814E7AAC1B670C819453E4"/>
    <w:rsid w:val="00AE7697"/>
  </w:style>
  <w:style w:type="paragraph" w:customStyle="1" w:styleId="FB3474869C714F2E900B4D619FE3512C">
    <w:name w:val="FB3474869C714F2E900B4D619FE3512C"/>
    <w:rsid w:val="00AE769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E481F962814E7AAC1B670C819453E4">
    <w:name w:val="48E481F962814E7AAC1B670C819453E4"/>
    <w:rsid w:val="00AE7697"/>
  </w:style>
  <w:style w:type="paragraph" w:customStyle="1" w:styleId="FB3474869C714F2E900B4D619FE3512C">
    <w:name w:val="FB3474869C714F2E900B4D619FE3512C"/>
    <w:rsid w:val="00AE76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Learning to Teach Physical Education in the Secondary School, 4th Edition</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Feest, Helene</cp:lastModifiedBy>
  <cp:revision>14</cp:revision>
  <dcterms:created xsi:type="dcterms:W3CDTF">2014-09-06T19:15:00Z</dcterms:created>
  <dcterms:modified xsi:type="dcterms:W3CDTF">2015-03-17T16:23:00Z</dcterms:modified>
</cp:coreProperties>
</file>