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D9" w:rsidRPr="00017DC5" w:rsidRDefault="005A10D9" w:rsidP="005A10D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17DC5">
        <w:rPr>
          <w:rFonts w:ascii="Arial" w:hAnsi="Arial" w:cs="Arial"/>
          <w:b/>
          <w:sz w:val="20"/>
          <w:szCs w:val="20"/>
          <w:u w:val="single"/>
        </w:rPr>
        <w:t>C</w:t>
      </w:r>
      <w:r w:rsidR="00BD36F3" w:rsidRPr="00017DC5">
        <w:rPr>
          <w:rFonts w:ascii="Arial" w:hAnsi="Arial" w:cs="Arial"/>
          <w:b/>
          <w:sz w:val="20"/>
          <w:szCs w:val="20"/>
          <w:u w:val="single"/>
        </w:rPr>
        <w:t>hapter</w:t>
      </w:r>
      <w:r w:rsidRPr="00017DC5">
        <w:rPr>
          <w:rFonts w:ascii="Arial" w:hAnsi="Arial" w:cs="Arial"/>
          <w:b/>
          <w:sz w:val="20"/>
          <w:szCs w:val="20"/>
          <w:u w:val="single"/>
        </w:rPr>
        <w:t xml:space="preserve"> 7</w:t>
      </w:r>
    </w:p>
    <w:p w:rsidR="005A10D9" w:rsidRPr="00A156B4" w:rsidRDefault="005A10D9" w:rsidP="005A10D9">
      <w:pPr>
        <w:pStyle w:val="HEAD11"/>
        <w:rPr>
          <w:sz w:val="22"/>
        </w:rPr>
      </w:pPr>
    </w:p>
    <w:p w:rsidR="005A10D9" w:rsidRPr="00577D11" w:rsidRDefault="005A10D9" w:rsidP="005A10D9">
      <w:pPr>
        <w:pStyle w:val="HEAD11"/>
      </w:pPr>
      <w:r>
        <w:t>Q7</w:t>
      </w:r>
      <w:r w:rsidR="00BD36F3">
        <w:t>.</w:t>
      </w:r>
      <w:r>
        <w:t>1</w:t>
      </w:r>
    </w:p>
    <w:p w:rsidR="005A10D9" w:rsidRPr="00356C5E" w:rsidRDefault="005A10D9" w:rsidP="005A10D9">
      <w:pPr>
        <w:pStyle w:val="BODYPARA"/>
      </w:pPr>
      <w:r w:rsidRPr="00356C5E">
        <w:t>At the stage in the accounting process when the closing entries have been journalised and posted to the ledger, the trial balance may show amounts for the following types of accounts:</w:t>
      </w:r>
    </w:p>
    <w:p w:rsidR="005A10D9" w:rsidRPr="00356C5E" w:rsidRDefault="005A10D9" w:rsidP="00D30B2D">
      <w:pPr>
        <w:pStyle w:val="BODYNUM1"/>
        <w:numPr>
          <w:ilvl w:val="0"/>
          <w:numId w:val="3"/>
        </w:numPr>
      </w:pPr>
      <w:r>
        <w:t>Asset accounts</w:t>
      </w:r>
    </w:p>
    <w:p w:rsidR="005A10D9" w:rsidRPr="00356C5E" w:rsidRDefault="005A10D9" w:rsidP="00D30B2D">
      <w:pPr>
        <w:pStyle w:val="BODYNUM1"/>
        <w:numPr>
          <w:ilvl w:val="0"/>
          <w:numId w:val="3"/>
        </w:numPr>
      </w:pPr>
      <w:r>
        <w:t>Liability accounts</w:t>
      </w:r>
    </w:p>
    <w:p w:rsidR="005A10D9" w:rsidRPr="00356C5E" w:rsidRDefault="005A10D9" w:rsidP="00D30B2D">
      <w:pPr>
        <w:pStyle w:val="BODYNUM1"/>
        <w:numPr>
          <w:ilvl w:val="0"/>
          <w:numId w:val="3"/>
        </w:numPr>
      </w:pPr>
      <w:r>
        <w:t>Capital account</w:t>
      </w:r>
    </w:p>
    <w:p w:rsidR="005A10D9" w:rsidRPr="00356C5E" w:rsidRDefault="005A10D9" w:rsidP="00D30B2D">
      <w:pPr>
        <w:pStyle w:val="BODYNUM1"/>
        <w:numPr>
          <w:ilvl w:val="0"/>
          <w:numId w:val="3"/>
        </w:numPr>
      </w:pPr>
      <w:r>
        <w:t>Income accounts</w:t>
      </w:r>
    </w:p>
    <w:p w:rsidR="005A10D9" w:rsidRPr="00356C5E" w:rsidRDefault="005A10D9" w:rsidP="00D30B2D">
      <w:pPr>
        <w:pStyle w:val="BODYNUM1"/>
        <w:numPr>
          <w:ilvl w:val="0"/>
          <w:numId w:val="3"/>
        </w:numPr>
      </w:pPr>
      <w:r>
        <w:t>Expense accounts</w:t>
      </w:r>
    </w:p>
    <w:p w:rsidR="005A10D9" w:rsidRDefault="005A10D9" w:rsidP="00D30B2D">
      <w:pPr>
        <w:pStyle w:val="BODYNUM1"/>
        <w:numPr>
          <w:ilvl w:val="0"/>
          <w:numId w:val="3"/>
        </w:numPr>
      </w:pPr>
      <w:r>
        <w:t>Drawings account.</w:t>
      </w:r>
    </w:p>
    <w:p w:rsidR="005A10D9" w:rsidRDefault="005A10D9" w:rsidP="005A10D9">
      <w:pPr>
        <w:pStyle w:val="BODYNUM1"/>
      </w:pPr>
    </w:p>
    <w:p w:rsidR="005A10D9" w:rsidRPr="00356C5E" w:rsidRDefault="005A10D9" w:rsidP="00D30B2D">
      <w:pPr>
        <w:pStyle w:val="BODYNUM1"/>
        <w:numPr>
          <w:ilvl w:val="0"/>
          <w:numId w:val="4"/>
        </w:numPr>
      </w:pPr>
      <w:r>
        <w:t>1, 2, 4 and 5</w:t>
      </w:r>
    </w:p>
    <w:p w:rsidR="005A10D9" w:rsidRPr="00356C5E" w:rsidRDefault="005A10D9" w:rsidP="00D30B2D">
      <w:pPr>
        <w:pStyle w:val="BODYNUM1"/>
        <w:numPr>
          <w:ilvl w:val="0"/>
          <w:numId w:val="4"/>
        </w:numPr>
      </w:pPr>
      <w:r>
        <w:t>1, 2, 3, 4, 5 and 6</w:t>
      </w:r>
    </w:p>
    <w:p w:rsidR="005A10D9" w:rsidRPr="00356C5E" w:rsidRDefault="005A10D9" w:rsidP="00D30B2D">
      <w:pPr>
        <w:pStyle w:val="BODYNUM1"/>
        <w:numPr>
          <w:ilvl w:val="0"/>
          <w:numId w:val="4"/>
        </w:numPr>
      </w:pPr>
      <w:r>
        <w:t>3, 4, 5 and 6</w:t>
      </w:r>
    </w:p>
    <w:p w:rsidR="005A10D9" w:rsidRPr="00356C5E" w:rsidRDefault="005A10D9" w:rsidP="00D30B2D">
      <w:pPr>
        <w:pStyle w:val="BODYNUM1"/>
        <w:numPr>
          <w:ilvl w:val="0"/>
          <w:numId w:val="4"/>
        </w:numPr>
      </w:pPr>
      <w:r>
        <w:t>1 and 2</w:t>
      </w:r>
    </w:p>
    <w:p w:rsidR="005A10D9" w:rsidRPr="00356C5E" w:rsidRDefault="005A10D9" w:rsidP="00D30B2D">
      <w:pPr>
        <w:pStyle w:val="BODYNUM1"/>
        <w:numPr>
          <w:ilvl w:val="0"/>
          <w:numId w:val="4"/>
        </w:numPr>
      </w:pPr>
      <w:r>
        <w:t>1, 2 and 3</w:t>
      </w:r>
    </w:p>
    <w:p w:rsidR="005A10D9" w:rsidRPr="00E20765" w:rsidRDefault="005A10D9" w:rsidP="005A10D9">
      <w:pPr>
        <w:pStyle w:val="BODYPARA"/>
      </w:pPr>
    </w:p>
    <w:p w:rsidR="005A10D9" w:rsidRDefault="005A10D9" w:rsidP="005A10D9">
      <w:pPr>
        <w:pStyle w:val="HEAD11"/>
      </w:pPr>
      <w:r w:rsidRPr="00744321">
        <w:t>Q7</w:t>
      </w:r>
      <w:r w:rsidR="00BD36F3">
        <w:t>.</w:t>
      </w:r>
      <w:r w:rsidRPr="00744321">
        <w:t>2</w:t>
      </w:r>
    </w:p>
    <w:p w:rsidR="005A10D9" w:rsidRPr="00356C5E" w:rsidRDefault="005A10D9" w:rsidP="005A10D9">
      <w:pPr>
        <w:pStyle w:val="BODYPARA"/>
      </w:pPr>
      <w:r w:rsidRPr="00356C5E">
        <w:t>The post-closing trial balance:</w:t>
      </w:r>
    </w:p>
    <w:p w:rsidR="005A10D9" w:rsidRPr="00356C5E" w:rsidRDefault="005A10D9" w:rsidP="00D30B2D">
      <w:pPr>
        <w:pStyle w:val="BODYNUM1"/>
        <w:numPr>
          <w:ilvl w:val="0"/>
          <w:numId w:val="5"/>
        </w:numPr>
      </w:pPr>
      <w:r w:rsidRPr="00356C5E">
        <w:t xml:space="preserve">Lists </w:t>
      </w:r>
      <w:r>
        <w:t>statement of profit or loss</w:t>
      </w:r>
      <w:r w:rsidRPr="00356C5E">
        <w:t xml:space="preserve"> accounts only.</w:t>
      </w:r>
    </w:p>
    <w:p w:rsidR="005A10D9" w:rsidRPr="00356C5E" w:rsidRDefault="005A10D9" w:rsidP="00D30B2D">
      <w:pPr>
        <w:pStyle w:val="BODYNUM1"/>
        <w:numPr>
          <w:ilvl w:val="0"/>
          <w:numId w:val="5"/>
        </w:numPr>
      </w:pPr>
      <w:r w:rsidRPr="00356C5E">
        <w:t>Lists statement of financial position accounts only.</w:t>
      </w:r>
    </w:p>
    <w:p w:rsidR="005A10D9" w:rsidRDefault="005A10D9" w:rsidP="00D30B2D">
      <w:pPr>
        <w:pStyle w:val="BODYNUM1"/>
        <w:numPr>
          <w:ilvl w:val="0"/>
          <w:numId w:val="5"/>
        </w:numPr>
      </w:pPr>
      <w:r w:rsidRPr="00356C5E">
        <w:t xml:space="preserve">Lists both </w:t>
      </w:r>
      <w:r>
        <w:t>statement of profit or loss</w:t>
      </w:r>
      <w:r w:rsidRPr="00356C5E">
        <w:t xml:space="preserve"> and statement of financial position accounts.</w:t>
      </w:r>
    </w:p>
    <w:p w:rsidR="005A10D9" w:rsidRPr="00356C5E" w:rsidRDefault="005A10D9" w:rsidP="00D30B2D">
      <w:pPr>
        <w:pStyle w:val="BODYNUM1"/>
        <w:numPr>
          <w:ilvl w:val="0"/>
          <w:numId w:val="5"/>
        </w:numPr>
      </w:pPr>
      <w:r w:rsidRPr="00356C5E">
        <w:t>Is prepared before closing entries are posted to the ledger.</w:t>
      </w:r>
    </w:p>
    <w:p w:rsidR="005A10D9" w:rsidRPr="00356C5E" w:rsidRDefault="005A10D9" w:rsidP="00D30B2D">
      <w:pPr>
        <w:pStyle w:val="BODYNUM1"/>
        <w:numPr>
          <w:ilvl w:val="0"/>
          <w:numId w:val="5"/>
        </w:numPr>
      </w:pPr>
      <w:r w:rsidRPr="00356C5E">
        <w:t>Lists the same account balances as the pre-adjustment trial balance.</w:t>
      </w:r>
    </w:p>
    <w:p w:rsidR="005A10D9" w:rsidRDefault="005A10D9" w:rsidP="005A10D9">
      <w:pPr>
        <w:pStyle w:val="BODYPARA"/>
      </w:pPr>
    </w:p>
    <w:p w:rsidR="005A10D9" w:rsidRPr="0064141D" w:rsidRDefault="005A10D9" w:rsidP="005A10D9">
      <w:pPr>
        <w:pStyle w:val="HEAD11"/>
      </w:pPr>
      <w:r w:rsidRPr="0064141D">
        <w:t>Q7</w:t>
      </w:r>
      <w:r w:rsidR="00BD36F3">
        <w:t>.</w:t>
      </w:r>
      <w:r w:rsidRPr="0064141D">
        <w:t>3</w:t>
      </w:r>
    </w:p>
    <w:p w:rsidR="005A10D9" w:rsidRPr="00356C5E" w:rsidRDefault="005A10D9" w:rsidP="005A10D9">
      <w:pPr>
        <w:pStyle w:val="BODYPARA"/>
      </w:pPr>
      <w:r w:rsidRPr="00356C5E">
        <w:t xml:space="preserve">For which of the following adjustments would a reversing entry </w:t>
      </w:r>
      <w:r>
        <w:t xml:space="preserve">on the first day of the financial year </w:t>
      </w:r>
      <w:r w:rsidRPr="00356C5E">
        <w:t>facilitate bookkeeping procedures?</w:t>
      </w:r>
    </w:p>
    <w:p w:rsidR="005A10D9" w:rsidRPr="00356C5E" w:rsidRDefault="005A10D9" w:rsidP="00D30B2D">
      <w:pPr>
        <w:pStyle w:val="BODYNUM1"/>
        <w:numPr>
          <w:ilvl w:val="0"/>
          <w:numId w:val="6"/>
        </w:numPr>
      </w:pPr>
      <w:r w:rsidRPr="00356C5E">
        <w:t>An adjustment for depreciation expense.</w:t>
      </w:r>
    </w:p>
    <w:p w:rsidR="005A10D9" w:rsidRDefault="005A10D9" w:rsidP="00D30B2D">
      <w:pPr>
        <w:pStyle w:val="BODYNUM1"/>
        <w:numPr>
          <w:ilvl w:val="0"/>
          <w:numId w:val="6"/>
        </w:numPr>
      </w:pPr>
      <w:r w:rsidRPr="00356C5E">
        <w:t xml:space="preserve">An adjustment to allocate insurance </w:t>
      </w:r>
      <w:r>
        <w:t xml:space="preserve">paid in advance </w:t>
      </w:r>
      <w:r w:rsidRPr="00356C5E">
        <w:t>to the current period.</w:t>
      </w:r>
    </w:p>
    <w:p w:rsidR="005A10D9" w:rsidRPr="00356C5E" w:rsidRDefault="005A10D9" w:rsidP="00D30B2D">
      <w:pPr>
        <w:pStyle w:val="BODYNUM1"/>
        <w:numPr>
          <w:ilvl w:val="0"/>
          <w:numId w:val="6"/>
        </w:numPr>
      </w:pPr>
      <w:r w:rsidRPr="00356C5E">
        <w:t>An adjustment for wages owing to employees.</w:t>
      </w:r>
    </w:p>
    <w:p w:rsidR="005A10D9" w:rsidRPr="00356C5E" w:rsidRDefault="005A10D9" w:rsidP="00D30B2D">
      <w:pPr>
        <w:pStyle w:val="BODYNUM1"/>
        <w:numPr>
          <w:ilvl w:val="0"/>
          <w:numId w:val="6"/>
        </w:numPr>
      </w:pPr>
      <w:r w:rsidRPr="00356C5E">
        <w:t>An adjustment to account for supplies used during a period.</w:t>
      </w:r>
    </w:p>
    <w:p w:rsidR="005A10D9" w:rsidRPr="00356C5E" w:rsidRDefault="005A10D9" w:rsidP="00D30B2D">
      <w:pPr>
        <w:pStyle w:val="BODYNUM1"/>
        <w:numPr>
          <w:ilvl w:val="0"/>
          <w:numId w:val="6"/>
        </w:numPr>
      </w:pPr>
      <w:r w:rsidRPr="00356C5E">
        <w:rPr>
          <w:position w:val="-1"/>
        </w:rPr>
        <w:t>None of the above.</w:t>
      </w:r>
    </w:p>
    <w:p w:rsidR="005A10D9" w:rsidRDefault="005A10D9" w:rsidP="005A10D9"/>
    <w:p w:rsidR="005A10D9" w:rsidRDefault="005A10D9" w:rsidP="005A10D9">
      <w:pPr>
        <w:pStyle w:val="HEAD11"/>
      </w:pPr>
      <w:r w:rsidRPr="0064141D">
        <w:t>E7</w:t>
      </w:r>
      <w:r w:rsidR="00BD36F3">
        <w:t>.</w:t>
      </w:r>
      <w:r w:rsidRPr="0064141D">
        <w:t>1</w:t>
      </w:r>
    </w:p>
    <w:p w:rsidR="005A10D9" w:rsidRPr="00356C5E" w:rsidRDefault="005A10D9" w:rsidP="005A10D9">
      <w:pPr>
        <w:pStyle w:val="BODYPARA"/>
      </w:pPr>
      <w:r>
        <w:t xml:space="preserve">Riverside Garage, which services motor vehicles for its customers, is owned and operated by Trevor Roberts. </w:t>
      </w:r>
      <w:r w:rsidRPr="00356C5E">
        <w:t xml:space="preserve">At 30 November 20X6, the end of the financial year, the accountant for </w:t>
      </w:r>
      <w:r>
        <w:t>Riverside Garage</w:t>
      </w:r>
      <w:r w:rsidRPr="00356C5E">
        <w:t xml:space="preserve"> </w:t>
      </w:r>
      <w:r>
        <w:t>prepared</w:t>
      </w:r>
      <w:r w:rsidRPr="00356C5E">
        <w:t xml:space="preserve"> a pre-adjustment trial balance, journalised and posted the adjusting entries, prepared a post-adjustment trial balance and prepared the </w:t>
      </w:r>
      <w:r>
        <w:t>statement of profit or loss</w:t>
      </w:r>
      <w:r w:rsidRPr="00356C5E">
        <w:t xml:space="preserve"> and statement of financial position. The two trial balances at 30 November, one before adjustments and the other after adjustments, are shown below.</w:t>
      </w:r>
    </w:p>
    <w:p w:rsidR="005A10D9" w:rsidRDefault="005A10D9" w:rsidP="005A10D9">
      <w:pPr>
        <w:pStyle w:val="BODYPARA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"/>
        <w:gridCol w:w="2982"/>
        <w:gridCol w:w="851"/>
        <w:gridCol w:w="283"/>
        <w:gridCol w:w="851"/>
        <w:gridCol w:w="283"/>
        <w:gridCol w:w="851"/>
        <w:gridCol w:w="283"/>
        <w:gridCol w:w="851"/>
      </w:tblGrid>
      <w:tr w:rsidR="005A10D9" w:rsidRPr="00BA5383" w:rsidTr="0048628E">
        <w:tc>
          <w:tcPr>
            <w:tcW w:w="7338" w:type="dxa"/>
            <w:gridSpan w:val="9"/>
            <w:tcBorders>
              <w:top w:val="single" w:sz="12" w:space="0" w:color="A6A6A6" w:themeColor="background1" w:themeShade="A6"/>
              <w:bottom w:val="single" w:sz="8" w:space="0" w:color="auto"/>
            </w:tcBorders>
            <w:tcMar>
              <w:left w:w="0" w:type="dxa"/>
            </w:tcMar>
          </w:tcPr>
          <w:p w:rsidR="005A10D9" w:rsidRPr="00BA5383" w:rsidRDefault="005A10D9" w:rsidP="0048628E">
            <w:pPr>
              <w:tabs>
                <w:tab w:val="left" w:pos="426"/>
              </w:tabs>
              <w:spacing w:after="0" w:line="240" w:lineRule="auto"/>
              <w:ind w:left="341" w:hanging="199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R</w:t>
            </w:r>
            <w:r w:rsidR="00BD36F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iverside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G</w:t>
            </w:r>
            <w:r w:rsidR="00BD36F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arage</w:t>
            </w:r>
          </w:p>
          <w:p w:rsidR="005A10D9" w:rsidRPr="00BA5383" w:rsidRDefault="005A10D9" w:rsidP="0048628E">
            <w:pPr>
              <w:spacing w:after="0" w:line="240" w:lineRule="auto"/>
              <w:ind w:left="341" w:hanging="199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T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rial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balances at 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30 N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ovember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20X6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Borders>
              <w:top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Pre-adjustment</w:t>
            </w:r>
          </w:p>
        </w:tc>
        <w:tc>
          <w:tcPr>
            <w:tcW w:w="283" w:type="dxa"/>
            <w:tcBorders>
              <w:top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Post-adjustment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Dr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Cr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Dr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Cr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Bank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12 500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12 500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Supplies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on hand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1 575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125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Rent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paid in advance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9 000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750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Insurance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paid in advance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1 040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260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Equipment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46 135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36 910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Vehicle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21 900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17 520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Accounts payable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5 275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6 100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Salaries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payable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880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Property tax payable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1 020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Trevor Roberts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–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apital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48 925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48 925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lastRenderedPageBreak/>
              <w:t>Trevor Roberts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–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distributions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20 000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20 000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Service fees earned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158 000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158 000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Salaries expense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78 840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79 720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Rent expense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8 250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Supplies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used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1 450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Depreciation expense – vehicle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4 380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Depreciation expense – equipment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9 225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Electricity and water expense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8 010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8 835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Property tax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expense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12 000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13 020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Insurance expense</w:t>
            </w: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–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780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General expense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1 200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1 200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212 200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5383">
              <w:rPr>
                <w:rFonts w:ascii="Arial" w:hAnsi="Arial" w:cs="Arial"/>
                <w:sz w:val="17"/>
                <w:szCs w:val="17"/>
              </w:rPr>
              <w:t>212 200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214 925</w:t>
            </w:r>
          </w:p>
        </w:tc>
        <w:tc>
          <w:tcPr>
            <w:tcW w:w="283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5383">
              <w:rPr>
                <w:rFonts w:ascii="Arial" w:hAnsi="Arial" w:cs="Arial"/>
                <w:sz w:val="17"/>
                <w:szCs w:val="17"/>
              </w:rPr>
              <w:t>214 925</w:t>
            </w:r>
          </w:p>
        </w:tc>
      </w:tr>
      <w:tr w:rsidR="005A10D9" w:rsidRPr="00BA5383" w:rsidTr="0048628E">
        <w:trPr>
          <w:gridBefore w:val="1"/>
          <w:wBefore w:w="103" w:type="dxa"/>
        </w:trPr>
        <w:tc>
          <w:tcPr>
            <w:tcW w:w="2982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A10D9" w:rsidRDefault="005A10D9" w:rsidP="005A10D9">
      <w:pPr>
        <w:pStyle w:val="BODYPARA"/>
      </w:pPr>
    </w:p>
    <w:p w:rsidR="005A10D9" w:rsidRPr="0064141D" w:rsidRDefault="005A10D9" w:rsidP="005A10D9">
      <w:pPr>
        <w:pStyle w:val="HEADBOLD"/>
      </w:pPr>
      <w:r w:rsidRPr="0064141D">
        <w:t>You are required to:</w:t>
      </w:r>
    </w:p>
    <w:p w:rsidR="005A10D9" w:rsidRPr="00356C5E" w:rsidRDefault="005A10D9" w:rsidP="00D30B2D">
      <w:pPr>
        <w:pStyle w:val="BODYNUM1"/>
        <w:numPr>
          <w:ilvl w:val="0"/>
          <w:numId w:val="7"/>
        </w:numPr>
      </w:pPr>
      <w:r w:rsidRPr="00356C5E">
        <w:t>Show the eight journal entries that were required to adjust the accounts at 30</w:t>
      </w:r>
      <w:r>
        <w:t> </w:t>
      </w:r>
      <w:r w:rsidRPr="00356C5E">
        <w:t>November</w:t>
      </w:r>
      <w:r>
        <w:t xml:space="preserve"> </w:t>
      </w:r>
      <w:r w:rsidRPr="00356C5E">
        <w:t>20X6. None of the accounts was affected by more than one adjusting entry.</w:t>
      </w:r>
    </w:p>
    <w:p w:rsidR="005A10D9" w:rsidRPr="00356C5E" w:rsidRDefault="005A10D9" w:rsidP="00D30B2D">
      <w:pPr>
        <w:pStyle w:val="BODYNUM1"/>
        <w:numPr>
          <w:ilvl w:val="0"/>
          <w:numId w:val="7"/>
        </w:numPr>
      </w:pPr>
      <w:r w:rsidRPr="00356C5E">
        <w:t>Prepare the journal entries to close the accounting records at 30 November 20X6.</w:t>
      </w:r>
    </w:p>
    <w:p w:rsidR="005A10D9" w:rsidRDefault="005A10D9" w:rsidP="00D30B2D">
      <w:pPr>
        <w:pStyle w:val="ListParagraph"/>
        <w:numPr>
          <w:ilvl w:val="0"/>
          <w:numId w:val="7"/>
        </w:numPr>
        <w:jc w:val="both"/>
      </w:pPr>
      <w:r w:rsidRPr="00D30B2D">
        <w:rPr>
          <w:rFonts w:ascii="Microsoft Sans Serif" w:hAnsi="Microsoft Sans Serif" w:cs="Microsoft Sans Serif"/>
          <w:sz w:val="18"/>
          <w:szCs w:val="18"/>
        </w:rPr>
        <w:t>Prepare a statement of changes in equity for Riverside Garage for the year end</w:t>
      </w:r>
      <w:r w:rsidR="00BD36F3">
        <w:rPr>
          <w:rFonts w:ascii="Microsoft Sans Serif" w:hAnsi="Microsoft Sans Serif" w:cs="Microsoft Sans Serif"/>
          <w:sz w:val="18"/>
          <w:szCs w:val="18"/>
        </w:rPr>
        <w:t>ing</w:t>
      </w:r>
      <w:r w:rsidRPr="00D30B2D">
        <w:rPr>
          <w:rFonts w:ascii="Microsoft Sans Serif" w:hAnsi="Microsoft Sans Serif" w:cs="Microsoft Sans Serif"/>
          <w:sz w:val="18"/>
          <w:szCs w:val="18"/>
        </w:rPr>
        <w:t xml:space="preserve"> 30 November 20X6. </w:t>
      </w:r>
      <w:r w:rsidRPr="00D30B2D">
        <w:rPr>
          <w:rFonts w:ascii="Microsoft Sans Serif" w:hAnsi="Microsoft Sans Serif" w:cs="Microsoft Sans Serif"/>
          <w:position w:val="-1"/>
          <w:sz w:val="18"/>
          <w:szCs w:val="18"/>
        </w:rPr>
        <w:t>There were no additional investments during the year.</w:t>
      </w:r>
    </w:p>
    <w:p w:rsidR="005A10D9" w:rsidRDefault="005A10D9" w:rsidP="005A10D9">
      <w:pPr>
        <w:pStyle w:val="HEAD11"/>
      </w:pPr>
    </w:p>
    <w:p w:rsidR="005A10D9" w:rsidRPr="009407E4" w:rsidRDefault="005A10D9" w:rsidP="005A10D9">
      <w:pPr>
        <w:pStyle w:val="HEAD11"/>
      </w:pPr>
      <w:r w:rsidRPr="009407E4">
        <w:t>E7</w:t>
      </w:r>
      <w:r w:rsidR="00BD36F3">
        <w:t>.</w:t>
      </w:r>
      <w:r w:rsidRPr="009407E4">
        <w:t>2</w:t>
      </w:r>
    </w:p>
    <w:p w:rsidR="005A10D9" w:rsidRPr="00356C5E" w:rsidRDefault="005A10D9" w:rsidP="005A10D9">
      <w:pPr>
        <w:pStyle w:val="BODYPARA"/>
      </w:pPr>
      <w:r>
        <w:t xml:space="preserve">Andy Wood operates and owns a business, Country Kitchens, which installs kitchen cupboards. </w:t>
      </w:r>
      <w:r w:rsidRPr="00356C5E">
        <w:t xml:space="preserve">The following trial balance was taken from the ledger of </w:t>
      </w:r>
      <w:r>
        <w:t>Country Kitchens</w:t>
      </w:r>
      <w:r w:rsidRPr="00356C5E">
        <w:t xml:space="preserve"> at the end of its annual accounting period:</w:t>
      </w:r>
    </w:p>
    <w:p w:rsidR="005A10D9" w:rsidRDefault="005A10D9" w:rsidP="005A10D9">
      <w:pPr>
        <w:pStyle w:val="BODYPARA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992"/>
        <w:gridCol w:w="459"/>
        <w:gridCol w:w="817"/>
      </w:tblGrid>
      <w:tr w:rsidR="005A10D9" w:rsidRPr="00BA5383" w:rsidTr="0048628E">
        <w:tc>
          <w:tcPr>
            <w:tcW w:w="7196" w:type="dxa"/>
            <w:gridSpan w:val="4"/>
            <w:tcBorders>
              <w:top w:val="single" w:sz="12" w:space="0" w:color="A6A6A6" w:themeColor="background1" w:themeShade="A6"/>
              <w:bottom w:val="single" w:sz="8" w:space="0" w:color="auto"/>
            </w:tcBorders>
            <w:tcMar>
              <w:left w:w="0" w:type="dxa"/>
            </w:tcMar>
          </w:tcPr>
          <w:p w:rsidR="005A10D9" w:rsidRPr="00BA5383" w:rsidRDefault="005A10D9" w:rsidP="0048628E">
            <w:pPr>
              <w:tabs>
                <w:tab w:val="left" w:pos="426"/>
              </w:tabs>
              <w:spacing w:after="0" w:line="240" w:lineRule="auto"/>
              <w:ind w:left="341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C</w:t>
            </w:r>
            <w:r w:rsidR="00BD36F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ountry</w:t>
            </w: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K</w:t>
            </w:r>
            <w:r w:rsidR="00BD36F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itchens</w:t>
            </w:r>
          </w:p>
          <w:p w:rsidR="005A10D9" w:rsidRPr="00BA5383" w:rsidRDefault="005A10D9" w:rsidP="0048628E">
            <w:pPr>
              <w:spacing w:after="0" w:line="240" w:lineRule="auto"/>
              <w:ind w:left="341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T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rial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B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alance at 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31 M</w:t>
            </w:r>
            <w:r w:rsidR="00BD36F3"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arch</w:t>
            </w: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20X6</w:t>
            </w:r>
          </w:p>
        </w:tc>
      </w:tr>
      <w:tr w:rsidR="005A10D9" w:rsidRPr="00BA5383" w:rsidTr="0048628E">
        <w:tc>
          <w:tcPr>
            <w:tcW w:w="4928" w:type="dxa"/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bCs/>
                <w:color w:val="231F20"/>
                <w:sz w:val="17"/>
                <w:szCs w:val="17"/>
              </w:rPr>
            </w:pP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Dr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Cr</w:t>
            </w: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Bank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18 500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Insurance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paid in advance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4 350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Furniture and e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quipment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167 400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Office supplies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on hand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2 850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Inventory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88 200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Accounts payable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46 450</w:t>
            </w: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 Wood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–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c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apital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207 700</w:t>
            </w: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A Wood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–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istributions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72 000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Sales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780 100</w:t>
            </w: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Cost of sales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468 060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Administrative expenses</w:t>
            </w:r>
          </w:p>
        </w:tc>
        <w:tc>
          <w:tcPr>
            <w:tcW w:w="992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129 540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Selling expenses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83 350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5A10D9" w:rsidRPr="00BA5383" w:rsidTr="0048628E">
        <w:tc>
          <w:tcPr>
            <w:tcW w:w="4928" w:type="dxa"/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5A10D9" w:rsidRPr="00BA5383" w:rsidRDefault="005A10D9" w:rsidP="0048628E">
            <w:pPr>
              <w:spacing w:after="0" w:line="240" w:lineRule="auto"/>
              <w:ind w:hanging="414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1 034 250</w:t>
            </w:r>
          </w:p>
        </w:tc>
        <w:tc>
          <w:tcPr>
            <w:tcW w:w="459" w:type="dxa"/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5A10D9" w:rsidRPr="00BA5383" w:rsidRDefault="005A10D9" w:rsidP="0048628E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1 034 250</w:t>
            </w:r>
          </w:p>
        </w:tc>
      </w:tr>
      <w:tr w:rsidR="005A10D9" w:rsidRPr="00BA5383" w:rsidTr="0048628E">
        <w:tc>
          <w:tcPr>
            <w:tcW w:w="4928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ind w:left="341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ind w:left="341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459" w:type="dxa"/>
            <w:tcBorders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ind w:left="341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12" w:space="0" w:color="A6A6A6" w:themeColor="background1" w:themeShade="A6"/>
            </w:tcBorders>
          </w:tcPr>
          <w:p w:rsidR="005A10D9" w:rsidRPr="00BA5383" w:rsidRDefault="005A10D9" w:rsidP="0048628E">
            <w:pPr>
              <w:spacing w:after="0" w:line="240" w:lineRule="auto"/>
              <w:ind w:left="341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</w:p>
        </w:tc>
      </w:tr>
    </w:tbl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 w:rsidRPr="00356C5E">
        <w:t>The following information needs to be taken into account:</w:t>
      </w:r>
    </w:p>
    <w:p w:rsidR="005A10D9" w:rsidRPr="00356C5E" w:rsidRDefault="005A10D9" w:rsidP="00D30B2D">
      <w:pPr>
        <w:pStyle w:val="BODYNUM1"/>
        <w:numPr>
          <w:ilvl w:val="0"/>
          <w:numId w:val="8"/>
        </w:numPr>
      </w:pPr>
      <w:r w:rsidRPr="00356C5E">
        <w:t xml:space="preserve">The insurance </w:t>
      </w:r>
      <w:r>
        <w:t>paid in advance</w:t>
      </w:r>
      <w:r w:rsidRPr="00356C5E">
        <w:t xml:space="preserve"> </w:t>
      </w:r>
      <w:r>
        <w:t>comprises</w:t>
      </w:r>
      <w:r w:rsidRPr="00356C5E">
        <w:t xml:space="preserve"> the premium pai</w:t>
      </w:r>
      <w:r>
        <w:t xml:space="preserve">d on 15 July 20X5 for a </w:t>
      </w:r>
      <w:r w:rsidR="00BD36F3">
        <w:t>12</w:t>
      </w:r>
      <w:r>
        <w:t>-</w:t>
      </w:r>
      <w:r w:rsidRPr="00356C5E">
        <w:t>month policy commencing on 1 August 20X5.</w:t>
      </w:r>
    </w:p>
    <w:p w:rsidR="005A10D9" w:rsidRPr="00356C5E" w:rsidRDefault="005A10D9" w:rsidP="00D30B2D">
      <w:pPr>
        <w:pStyle w:val="BODYNUM1"/>
        <w:numPr>
          <w:ilvl w:val="0"/>
          <w:numId w:val="8"/>
        </w:numPr>
      </w:pPr>
      <w:r w:rsidRPr="00356C5E">
        <w:t>O</w:t>
      </w:r>
      <w:r>
        <w:t>n 31 March 20X6, Andy counted o</w:t>
      </w:r>
      <w:r w:rsidRPr="00356C5E">
        <w:t xml:space="preserve">ffice supplies on hand, </w:t>
      </w:r>
      <w:r>
        <w:t>costing C1</w:t>
      </w:r>
      <w:r w:rsidRPr="00356C5E">
        <w:t xml:space="preserve"> 300.</w:t>
      </w:r>
    </w:p>
    <w:p w:rsidR="005A10D9" w:rsidRPr="00356C5E" w:rsidRDefault="005A10D9" w:rsidP="00D30B2D">
      <w:pPr>
        <w:pStyle w:val="BODYNUM1"/>
        <w:numPr>
          <w:ilvl w:val="0"/>
          <w:numId w:val="8"/>
        </w:numPr>
      </w:pPr>
      <w:r w:rsidRPr="00356C5E">
        <w:t xml:space="preserve">Depreciation on </w:t>
      </w:r>
      <w:r>
        <w:t xml:space="preserve">furniture and </w:t>
      </w:r>
      <w:r w:rsidRPr="00356C5E">
        <w:t>equipment</w:t>
      </w:r>
      <w:r>
        <w:t xml:space="preserve"> for the year ended 31 March 20X6 was</w:t>
      </w:r>
      <w:r w:rsidRPr="00356C5E">
        <w:t xml:space="preserve"> </w:t>
      </w:r>
      <w:r>
        <w:t>C1</w:t>
      </w:r>
      <w:r w:rsidRPr="00356C5E">
        <w:t>8</w:t>
      </w:r>
      <w:r>
        <w:t> </w:t>
      </w:r>
      <w:r w:rsidRPr="00356C5E">
        <w:t>600.</w:t>
      </w:r>
    </w:p>
    <w:p w:rsidR="005A10D9" w:rsidRPr="00356C5E" w:rsidRDefault="005A10D9" w:rsidP="00D30B2D">
      <w:pPr>
        <w:pStyle w:val="BODYNUM1"/>
        <w:numPr>
          <w:ilvl w:val="0"/>
          <w:numId w:val="8"/>
        </w:numPr>
      </w:pPr>
      <w:r w:rsidRPr="00356C5E">
        <w:t>Selling expenses accrued</w:t>
      </w:r>
      <w:r>
        <w:t xml:space="preserve"> at 31 March 20X6 were</w:t>
      </w:r>
      <w:r w:rsidRPr="00356C5E">
        <w:t xml:space="preserve"> </w:t>
      </w:r>
      <w:r>
        <w:t>C3</w:t>
      </w:r>
      <w:r w:rsidRPr="00356C5E">
        <w:t xml:space="preserve"> 100.</w:t>
      </w:r>
    </w:p>
    <w:p w:rsidR="005A10D9" w:rsidRPr="00356C5E" w:rsidRDefault="005A10D9" w:rsidP="005A10D9">
      <w:pPr>
        <w:tabs>
          <w:tab w:val="left" w:pos="426"/>
        </w:tabs>
        <w:spacing w:after="0" w:line="240" w:lineRule="auto"/>
        <w:ind w:left="341"/>
        <w:rPr>
          <w:rFonts w:ascii="Arial" w:hAnsi="Arial" w:cs="Arial"/>
          <w:sz w:val="20"/>
          <w:szCs w:val="20"/>
        </w:rPr>
      </w:pPr>
    </w:p>
    <w:p w:rsidR="005A10D9" w:rsidRPr="009407E4" w:rsidRDefault="005A10D9" w:rsidP="005A10D9">
      <w:pPr>
        <w:pStyle w:val="HEADBOLD"/>
      </w:pPr>
      <w:r w:rsidRPr="009407E4">
        <w:t>You are required to:</w:t>
      </w:r>
    </w:p>
    <w:p w:rsidR="005A10D9" w:rsidRPr="00356C5E" w:rsidRDefault="005A10D9" w:rsidP="00D30B2D">
      <w:pPr>
        <w:pStyle w:val="BODYNUM1"/>
        <w:numPr>
          <w:ilvl w:val="0"/>
          <w:numId w:val="9"/>
        </w:numPr>
      </w:pPr>
      <w:r w:rsidRPr="00356C5E">
        <w:t>Journalise the adjusting and closing entries.</w:t>
      </w:r>
    </w:p>
    <w:p w:rsidR="005A10D9" w:rsidRDefault="005A10D9" w:rsidP="00D30B2D">
      <w:pPr>
        <w:pStyle w:val="BODYNUM1"/>
        <w:numPr>
          <w:ilvl w:val="0"/>
          <w:numId w:val="9"/>
        </w:numPr>
      </w:pPr>
      <w:r w:rsidRPr="00356C5E">
        <w:t xml:space="preserve">Prepare the </w:t>
      </w:r>
      <w:r>
        <w:t>statement of profit or loss</w:t>
      </w:r>
      <w:r w:rsidRPr="00356C5E">
        <w:t xml:space="preserve"> </w:t>
      </w:r>
      <w:r>
        <w:t>for</w:t>
      </w:r>
      <w:r w:rsidRPr="00356C5E">
        <w:t xml:space="preserve"> </w:t>
      </w:r>
      <w:r>
        <w:t>Country Kitchens</w:t>
      </w:r>
      <w:r w:rsidRPr="00356C5E">
        <w:t xml:space="preserve"> for the year end</w:t>
      </w:r>
      <w:r w:rsidR="00480DA3">
        <w:t>ing</w:t>
      </w:r>
      <w:r w:rsidRPr="00356C5E">
        <w:t xml:space="preserve"> 31</w:t>
      </w:r>
      <w:r>
        <w:t> </w:t>
      </w:r>
      <w:r w:rsidRPr="00356C5E">
        <w:t>March 20X6.</w:t>
      </w:r>
    </w:p>
    <w:p w:rsidR="005A10D9" w:rsidRPr="00356C5E" w:rsidRDefault="005A10D9" w:rsidP="00D30B2D">
      <w:pPr>
        <w:pStyle w:val="BODYNUM1"/>
        <w:numPr>
          <w:ilvl w:val="0"/>
          <w:numId w:val="9"/>
        </w:numPr>
      </w:pPr>
      <w:r w:rsidRPr="00356C5E">
        <w:t xml:space="preserve">Prepare a statement of changes in equity </w:t>
      </w:r>
      <w:r>
        <w:t>for</w:t>
      </w:r>
      <w:r w:rsidRPr="00356C5E">
        <w:t xml:space="preserve"> </w:t>
      </w:r>
      <w:r>
        <w:t>Country Kitchens</w:t>
      </w:r>
      <w:r w:rsidRPr="00356C5E">
        <w:t xml:space="preserve"> for the year end</w:t>
      </w:r>
      <w:r w:rsidR="00480DA3">
        <w:t>ing</w:t>
      </w:r>
      <w:r>
        <w:t xml:space="preserve"> </w:t>
      </w:r>
      <w:r w:rsidRPr="00356C5E">
        <w:t>31</w:t>
      </w:r>
      <w:r>
        <w:t> </w:t>
      </w:r>
      <w:r w:rsidRPr="00356C5E">
        <w:t>March 20X6.</w:t>
      </w:r>
    </w:p>
    <w:p w:rsidR="005A10D9" w:rsidRDefault="005A10D9" w:rsidP="00D30B2D">
      <w:pPr>
        <w:pStyle w:val="ListParagraph"/>
        <w:numPr>
          <w:ilvl w:val="0"/>
          <w:numId w:val="9"/>
        </w:numPr>
        <w:jc w:val="both"/>
      </w:pPr>
      <w:r w:rsidRPr="00D30B2D">
        <w:rPr>
          <w:rFonts w:ascii="Microsoft Sans Serif" w:hAnsi="Microsoft Sans Serif" w:cs="Microsoft Sans Serif"/>
          <w:position w:val="-1"/>
          <w:sz w:val="18"/>
          <w:szCs w:val="18"/>
        </w:rPr>
        <w:t>Prepare a statement of financial position for Country Kitchens at 31 March 20X6.</w:t>
      </w:r>
    </w:p>
    <w:p w:rsidR="005A10D9" w:rsidRDefault="005A10D9" w:rsidP="005A10D9">
      <w:pPr>
        <w:jc w:val="both"/>
      </w:pPr>
    </w:p>
    <w:p w:rsidR="005A10D9" w:rsidRPr="00215DE7" w:rsidRDefault="005A10D9" w:rsidP="005A10D9">
      <w:pPr>
        <w:pStyle w:val="HEAD11"/>
      </w:pPr>
      <w:r w:rsidRPr="00215DE7">
        <w:t>P7</w:t>
      </w:r>
      <w:r w:rsidR="00BD36F3">
        <w:t>.</w:t>
      </w:r>
      <w:r>
        <w:t>1</w:t>
      </w:r>
    </w:p>
    <w:p w:rsidR="005A10D9" w:rsidRDefault="005A10D9" w:rsidP="005A10D9">
      <w:pPr>
        <w:pStyle w:val="BODYPARA"/>
      </w:pPr>
      <w:r>
        <w:t>Benjamin Barker</w:t>
      </w:r>
      <w:r w:rsidRPr="00356C5E">
        <w:t xml:space="preserve"> is </w:t>
      </w:r>
      <w:r>
        <w:t>studying</w:t>
      </w:r>
      <w:r w:rsidRPr="00356C5E">
        <w:t xml:space="preserve"> accounting </w:t>
      </w:r>
      <w:r>
        <w:t>at university</w:t>
      </w:r>
      <w:r w:rsidRPr="00356C5E">
        <w:t xml:space="preserve">. He decided at the beginning of 20X7 to enter the business of providing </w:t>
      </w:r>
      <w:r>
        <w:t>dog training classes over the period from 1 March 20X7 until 31 October 20X7 as a way of earning extra income</w:t>
      </w:r>
      <w:r w:rsidRPr="00356C5E">
        <w:t>.</w:t>
      </w:r>
    </w:p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 w:rsidRPr="00356C5E">
        <w:t xml:space="preserve">On 1 March 20X7 he </w:t>
      </w:r>
      <w:r>
        <w:t>paid</w:t>
      </w:r>
      <w:r w:rsidRPr="00356C5E">
        <w:t xml:space="preserve"> </w:t>
      </w:r>
      <w:r>
        <w:t>C3</w:t>
      </w:r>
      <w:r w:rsidRPr="00356C5E">
        <w:t xml:space="preserve"> 000 into the business bank account, which he calls </w:t>
      </w:r>
      <w:r>
        <w:t xml:space="preserve">Sit and Stay. </w:t>
      </w:r>
      <w:r w:rsidRPr="00356C5E">
        <w:t>In addition, on</w:t>
      </w:r>
      <w:r>
        <w:t xml:space="preserve"> the same date</w:t>
      </w:r>
      <w:r w:rsidRPr="00356C5E">
        <w:t xml:space="preserve">, </w:t>
      </w:r>
      <w:r>
        <w:t>Benjamin</w:t>
      </w:r>
      <w:r w:rsidRPr="00356C5E">
        <w:t xml:space="preserve"> purchase</w:t>
      </w:r>
      <w:r>
        <w:t>d</w:t>
      </w:r>
      <w:r w:rsidRPr="00356C5E">
        <w:t xml:space="preserve"> a second-hand </w:t>
      </w:r>
      <w:r>
        <w:t>netbook</w:t>
      </w:r>
      <w:r w:rsidRPr="00356C5E">
        <w:t xml:space="preserve"> computer and printer for the business at a total cost of </w:t>
      </w:r>
      <w:r>
        <w:t>C3</w:t>
      </w:r>
      <w:r w:rsidRPr="00356C5E">
        <w:t xml:space="preserve"> 500. He pa</w:t>
      </w:r>
      <w:r>
        <w:t>id</w:t>
      </w:r>
      <w:r w:rsidRPr="00356C5E">
        <w:t xml:space="preserve"> </w:t>
      </w:r>
      <w:r>
        <w:t>C2</w:t>
      </w:r>
      <w:r w:rsidRPr="00356C5E">
        <w:t xml:space="preserve"> 500 in cash and borrow</w:t>
      </w:r>
      <w:r>
        <w:t>ed</w:t>
      </w:r>
      <w:r w:rsidRPr="00356C5E">
        <w:t xml:space="preserve"> the remaining </w:t>
      </w:r>
      <w:r>
        <w:t>C1</w:t>
      </w:r>
      <w:r w:rsidRPr="00356C5E">
        <w:t xml:space="preserve"> 000, interest free, from his uncle. It is estimated that the computer equipment can be sold for </w:t>
      </w:r>
      <w:r>
        <w:t>C2</w:t>
      </w:r>
      <w:r w:rsidRPr="00356C5E">
        <w:t xml:space="preserve"> 700 at the end of October 20X7.</w:t>
      </w:r>
    </w:p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>
        <w:t>Benjamin</w:t>
      </w:r>
      <w:r w:rsidRPr="00356C5E">
        <w:t xml:space="preserve"> decides to prepare financial statements at</w:t>
      </w:r>
      <w:r>
        <w:t xml:space="preserve"> </w:t>
      </w:r>
      <w:r w:rsidRPr="00356C5E">
        <w:t>30 June and at 31 October. Closing entries are not processed at 30 June 20X7. Details of transactions for the two half-periods are as follows:</w:t>
      </w:r>
    </w:p>
    <w:p w:rsidR="005A10D9" w:rsidRDefault="005A10D9" w:rsidP="005A10D9"/>
    <w:tbl>
      <w:tblPr>
        <w:tblW w:w="0" w:type="auto"/>
        <w:tblBorders>
          <w:top w:val="single" w:sz="12" w:space="0" w:color="A6A6A6" w:themeColor="background1" w:themeShade="A6"/>
          <w:bottom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1"/>
        <w:gridCol w:w="1700"/>
        <w:gridCol w:w="1702"/>
      </w:tblGrid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bCs/>
                <w:color w:val="231F20"/>
                <w:sz w:val="17"/>
                <w:szCs w:val="17"/>
              </w:rPr>
            </w:pPr>
          </w:p>
        </w:tc>
        <w:tc>
          <w:tcPr>
            <w:tcW w:w="1700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01/03/X7–30/06/X7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>01/07/X7–31/10/X7</w:t>
            </w:r>
          </w:p>
        </w:tc>
      </w:tr>
      <w:tr w:rsidR="005A10D9" w:rsidRPr="00BA5383" w:rsidTr="0048628E">
        <w:tc>
          <w:tcPr>
            <w:tcW w:w="3971" w:type="dxa"/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bCs/>
                <w:color w:val="231F20"/>
                <w:sz w:val="17"/>
                <w:szCs w:val="17"/>
              </w:rPr>
            </w:pP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left" w:pos="89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C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7"/>
                <w:szCs w:val="17"/>
              </w:rPr>
              <w:t xml:space="preserve"> C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Training f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ees on credit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6 200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5 800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Receipts from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dog owners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5 800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6 050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Venue hire paid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  <w:lang w:val="en-ZA"/>
              </w:rPr>
              <w:tab/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550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600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Advertising and insurance paid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  <w:lang w:val="en-ZA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100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Supplies purchased on credit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600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250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Repayment of loan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500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>Payment of accounts payable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500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350</w:t>
            </w:r>
          </w:p>
        </w:tc>
      </w:tr>
      <w:tr w:rsidR="005A10D9" w:rsidRPr="00BA5383" w:rsidTr="0048628E">
        <w:tc>
          <w:tcPr>
            <w:tcW w:w="3971" w:type="dxa"/>
            <w:tcMar>
              <w:left w:w="0" w:type="dxa"/>
            </w:tcMar>
          </w:tcPr>
          <w:p w:rsidR="005A10D9" w:rsidRPr="00BA5383" w:rsidRDefault="005A10D9" w:rsidP="0048628E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Distributions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to</w:t>
            </w: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 xml:space="preserve"> owner</w:t>
            </w:r>
          </w:p>
        </w:tc>
        <w:tc>
          <w:tcPr>
            <w:tcW w:w="1700" w:type="dxa"/>
          </w:tcPr>
          <w:p w:rsidR="005A10D9" w:rsidRPr="00BA5383" w:rsidRDefault="005A10D9" w:rsidP="0048628E">
            <w:pPr>
              <w:tabs>
                <w:tab w:val="right" w:pos="963"/>
              </w:tabs>
              <w:spacing w:after="0" w:line="240" w:lineRule="auto"/>
              <w:ind w:right="32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>4 200</w:t>
            </w:r>
          </w:p>
        </w:tc>
        <w:tc>
          <w:tcPr>
            <w:tcW w:w="1559" w:type="dxa"/>
          </w:tcPr>
          <w:p w:rsidR="005A10D9" w:rsidRPr="00BA5383" w:rsidRDefault="005A10D9" w:rsidP="0048628E">
            <w:pPr>
              <w:tabs>
                <w:tab w:val="left" w:pos="1021"/>
              </w:tabs>
              <w:spacing w:after="0" w:line="240" w:lineRule="auto"/>
              <w:ind w:right="181"/>
              <w:jc w:val="right"/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BA5383">
              <w:rPr>
                <w:rFonts w:ascii="Arial" w:eastAsia="Arial" w:hAnsi="Arial" w:cs="Arial"/>
                <w:color w:val="231F20"/>
                <w:sz w:val="17"/>
                <w:szCs w:val="17"/>
              </w:rPr>
              <w:tab/>
              <w:t xml:space="preserve">4 </w:t>
            </w:r>
            <w:r>
              <w:rPr>
                <w:rFonts w:ascii="Arial" w:eastAsia="Arial" w:hAnsi="Arial" w:cs="Arial"/>
                <w:color w:val="231F20"/>
                <w:sz w:val="17"/>
                <w:szCs w:val="17"/>
              </w:rPr>
              <w:t>000</w:t>
            </w:r>
          </w:p>
        </w:tc>
      </w:tr>
    </w:tbl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 w:rsidRPr="00356C5E">
        <w:t>The following additional information is relevant:</w:t>
      </w:r>
    </w:p>
    <w:p w:rsidR="005A10D9" w:rsidRDefault="005A10D9" w:rsidP="00D30B2D">
      <w:pPr>
        <w:pStyle w:val="BODYNUM1"/>
        <w:numPr>
          <w:ilvl w:val="0"/>
          <w:numId w:val="10"/>
        </w:numPr>
      </w:pPr>
      <w:r w:rsidRPr="00356C5E">
        <w:t xml:space="preserve">Booking for the courses is made by telephone or e-mail. </w:t>
      </w:r>
      <w:r>
        <w:t>Benjamin</w:t>
      </w:r>
      <w:r w:rsidRPr="00356C5E">
        <w:t xml:space="preserve"> sends out accounts upon receipt of a booking.</w:t>
      </w:r>
    </w:p>
    <w:p w:rsidR="005A10D9" w:rsidRPr="00F520FF" w:rsidRDefault="005A10D9" w:rsidP="00D30B2D">
      <w:pPr>
        <w:pStyle w:val="BODYBULLET"/>
        <w:numPr>
          <w:ilvl w:val="0"/>
          <w:numId w:val="11"/>
        </w:numPr>
      </w:pPr>
      <w:r w:rsidRPr="00215DE7">
        <w:t xml:space="preserve">At 30 June 20X7, amounts owed by </w:t>
      </w:r>
      <w:r>
        <w:t>dog owners</w:t>
      </w:r>
      <w:r w:rsidRPr="00215DE7">
        <w:t xml:space="preserve"> for courses attended totalled </w:t>
      </w:r>
      <w:r>
        <w:t>C4</w:t>
      </w:r>
      <w:r w:rsidRPr="00215DE7">
        <w:t xml:space="preserve">00. All the </w:t>
      </w:r>
      <w:r>
        <w:t>dog owners</w:t>
      </w:r>
      <w:r w:rsidRPr="00215DE7">
        <w:t xml:space="preserve"> indicated that they would pay the outstanding fees at the end of July 20X7.</w:t>
      </w:r>
    </w:p>
    <w:p w:rsidR="005A10D9" w:rsidRPr="00215DE7" w:rsidRDefault="005A10D9" w:rsidP="00D30B2D">
      <w:pPr>
        <w:pStyle w:val="BODYBULLET"/>
        <w:numPr>
          <w:ilvl w:val="0"/>
          <w:numId w:val="11"/>
        </w:numPr>
      </w:pPr>
      <w:r w:rsidRPr="00215DE7">
        <w:t xml:space="preserve">At 31 October 20X7, amounts owed by </w:t>
      </w:r>
      <w:r>
        <w:t>dog owners</w:t>
      </w:r>
      <w:r w:rsidRPr="00215DE7">
        <w:t xml:space="preserve"> for courses attended totalled </w:t>
      </w:r>
      <w:r>
        <w:t>C1</w:t>
      </w:r>
      <w:r w:rsidRPr="00215DE7">
        <w:t>50. All efforts to recover these debts were unsuccessful.</w:t>
      </w:r>
    </w:p>
    <w:p w:rsidR="005A10D9" w:rsidRPr="00356C5E" w:rsidRDefault="005A10D9" w:rsidP="00D30B2D">
      <w:pPr>
        <w:pStyle w:val="BODYNUM1"/>
        <w:numPr>
          <w:ilvl w:val="0"/>
          <w:numId w:val="10"/>
        </w:numPr>
      </w:pPr>
      <w:r w:rsidRPr="00356C5E">
        <w:t xml:space="preserve">Immediately after the last course at the end of October 20X7, thieves broke into </w:t>
      </w:r>
      <w:r>
        <w:t>Benjamin</w:t>
      </w:r>
      <w:r w:rsidRPr="00356C5E">
        <w:t xml:space="preserve">'s </w:t>
      </w:r>
      <w:r>
        <w:t>car</w:t>
      </w:r>
      <w:r w:rsidRPr="00356C5E">
        <w:t xml:space="preserve"> and stole the computer equipment. The insurance company agreed to pay proceeds of </w:t>
      </w:r>
      <w:r>
        <w:t>C2</w:t>
      </w:r>
      <w:r w:rsidRPr="00356C5E">
        <w:t xml:space="preserve"> 150, which was received early in November 20X7.</w:t>
      </w:r>
    </w:p>
    <w:p w:rsidR="005A10D9" w:rsidRPr="00356C5E" w:rsidRDefault="005A10D9" w:rsidP="00D30B2D">
      <w:pPr>
        <w:pStyle w:val="BODYNUM1"/>
        <w:numPr>
          <w:ilvl w:val="0"/>
          <w:numId w:val="10"/>
        </w:numPr>
      </w:pPr>
      <w:r w:rsidRPr="00356C5E">
        <w:t xml:space="preserve">Supplies on hand at 30 June 20X7 amounted to </w:t>
      </w:r>
      <w:r>
        <w:t>C2</w:t>
      </w:r>
      <w:r w:rsidRPr="00356C5E">
        <w:t>50. There were no supplies on hand at 31 October 20X7.</w:t>
      </w:r>
    </w:p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>
        <w:t>Benjamin</w:t>
      </w:r>
      <w:r w:rsidRPr="00356C5E">
        <w:t xml:space="preserve"> </w:t>
      </w:r>
      <w:r>
        <w:t>Barker</w:t>
      </w:r>
      <w:r w:rsidRPr="00356C5E">
        <w:t xml:space="preserve"> has maintained detailed time sheets which show that he dedicated a total of 200 hours to the business over the eight-month period. A student employment agency has indicated that he could earn </w:t>
      </w:r>
      <w:r>
        <w:t>C4</w:t>
      </w:r>
      <w:r w:rsidRPr="00356C5E">
        <w:t>0 per hour on various assignments.</w:t>
      </w:r>
    </w:p>
    <w:p w:rsidR="005A10D9" w:rsidRDefault="005A10D9" w:rsidP="005A10D9">
      <w:pPr>
        <w:pStyle w:val="BODYPARA"/>
      </w:pPr>
    </w:p>
    <w:p w:rsidR="005A10D9" w:rsidRPr="00356C5E" w:rsidRDefault="005A10D9" w:rsidP="005A10D9">
      <w:pPr>
        <w:pStyle w:val="BODYPARA"/>
      </w:pPr>
      <w:r w:rsidRPr="00356C5E">
        <w:t xml:space="preserve">The rate of interest that can be earned on an investment in a fixed deposit is currently </w:t>
      </w:r>
      <w:r w:rsidRPr="00356C5E">
        <w:rPr>
          <w:position w:val="-1"/>
        </w:rPr>
        <w:t>4</w:t>
      </w:r>
      <w:r w:rsidR="00480DA3">
        <w:rPr>
          <w:position w:val="-1"/>
        </w:rPr>
        <w:t>.</w:t>
      </w:r>
      <w:r w:rsidRPr="00356C5E">
        <w:rPr>
          <w:position w:val="-1"/>
        </w:rPr>
        <w:t>5% per annum.</w:t>
      </w:r>
    </w:p>
    <w:p w:rsidR="005A10D9" w:rsidRPr="00311FFC" w:rsidRDefault="005A10D9" w:rsidP="005A10D9">
      <w:pPr>
        <w:pStyle w:val="BODYPARA"/>
        <w:rPr>
          <w:sz w:val="16"/>
        </w:rPr>
      </w:pPr>
    </w:p>
    <w:p w:rsidR="005A10D9" w:rsidRPr="00215DE7" w:rsidRDefault="005A10D9" w:rsidP="005A10D9">
      <w:pPr>
        <w:pStyle w:val="HEADBOLD"/>
      </w:pPr>
      <w:r w:rsidRPr="00215DE7">
        <w:t>You are required to:</w:t>
      </w:r>
    </w:p>
    <w:p w:rsidR="005A10D9" w:rsidRPr="00356C5E" w:rsidRDefault="005A10D9" w:rsidP="00D30B2D">
      <w:pPr>
        <w:pStyle w:val="BODYNUM1"/>
        <w:numPr>
          <w:ilvl w:val="0"/>
          <w:numId w:val="12"/>
        </w:numPr>
      </w:pPr>
      <w:r w:rsidRPr="00356C5E">
        <w:t xml:space="preserve">Prepare a </w:t>
      </w:r>
      <w:r>
        <w:t>statement of profit or loss</w:t>
      </w:r>
      <w:r w:rsidRPr="00356C5E">
        <w:t xml:space="preserve"> </w:t>
      </w:r>
      <w:r>
        <w:t>for</w:t>
      </w:r>
      <w:r w:rsidRPr="00356C5E">
        <w:t xml:space="preserve"> </w:t>
      </w:r>
      <w:r>
        <w:t xml:space="preserve">Sit and Stay </w:t>
      </w:r>
      <w:r w:rsidRPr="00356C5E">
        <w:t>for the period from 1 March 20X7 to 30 June 20X7.</w:t>
      </w:r>
    </w:p>
    <w:p w:rsidR="005A10D9" w:rsidRPr="00356C5E" w:rsidRDefault="005A10D9" w:rsidP="00D30B2D">
      <w:pPr>
        <w:pStyle w:val="BODYNUM1"/>
        <w:numPr>
          <w:ilvl w:val="0"/>
          <w:numId w:val="12"/>
        </w:numPr>
      </w:pPr>
      <w:r w:rsidRPr="00356C5E">
        <w:t xml:space="preserve">Record all the closing entries in the journal of </w:t>
      </w:r>
      <w:r>
        <w:t>Sit and Stay</w:t>
      </w:r>
      <w:r w:rsidRPr="00356C5E">
        <w:t xml:space="preserve"> at 31 October</w:t>
      </w:r>
      <w:r>
        <w:t xml:space="preserve"> </w:t>
      </w:r>
      <w:r w:rsidRPr="00356C5E">
        <w:t>20X7.</w:t>
      </w:r>
    </w:p>
    <w:p w:rsidR="005A10D9" w:rsidRPr="00356C5E" w:rsidRDefault="005A10D9" w:rsidP="00D30B2D">
      <w:pPr>
        <w:pStyle w:val="BODYNUM1"/>
        <w:numPr>
          <w:ilvl w:val="0"/>
          <w:numId w:val="12"/>
        </w:numPr>
      </w:pPr>
      <w:r w:rsidRPr="00356C5E">
        <w:t xml:space="preserve">Prepare the statement of financial position of </w:t>
      </w:r>
      <w:r>
        <w:t>Sit and Stay</w:t>
      </w:r>
      <w:r w:rsidRPr="00356C5E">
        <w:t xml:space="preserve"> at 31 October</w:t>
      </w:r>
      <w:r>
        <w:t xml:space="preserve"> </w:t>
      </w:r>
      <w:r w:rsidRPr="00356C5E">
        <w:t>20X7.</w:t>
      </w:r>
    </w:p>
    <w:p w:rsidR="005A10D9" w:rsidRPr="00356C5E" w:rsidRDefault="005A10D9" w:rsidP="00D30B2D">
      <w:pPr>
        <w:pStyle w:val="BODYNUM1"/>
        <w:numPr>
          <w:ilvl w:val="0"/>
          <w:numId w:val="12"/>
        </w:numPr>
      </w:pPr>
      <w:r w:rsidRPr="00356C5E">
        <w:t xml:space="preserve">Prepare a statement of changes in equity for </w:t>
      </w:r>
      <w:r>
        <w:t xml:space="preserve">Sit and Stay for </w:t>
      </w:r>
      <w:r w:rsidRPr="00356C5E">
        <w:t xml:space="preserve">the </w:t>
      </w:r>
      <w:r>
        <w:t>period</w:t>
      </w:r>
      <w:r w:rsidRPr="00356C5E">
        <w:t xml:space="preserve"> ended 31</w:t>
      </w:r>
      <w:r>
        <w:t> </w:t>
      </w:r>
      <w:r w:rsidRPr="00356C5E">
        <w:t>October 20X7.</w:t>
      </w:r>
    </w:p>
    <w:p w:rsidR="00804088" w:rsidRDefault="005A10D9" w:rsidP="00D30B2D">
      <w:pPr>
        <w:pStyle w:val="BODYNUM1"/>
        <w:numPr>
          <w:ilvl w:val="0"/>
          <w:numId w:val="12"/>
        </w:numPr>
      </w:pPr>
      <w:r w:rsidRPr="00356C5E">
        <w:t>Calculate the return on equity earned by the business during its period of operation and comment on the relative success of the business compared to other investment opportunities.</w:t>
      </w:r>
    </w:p>
    <w:sectPr w:rsidR="008040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64" w:rsidRDefault="008E6864" w:rsidP="009D0F78">
      <w:pPr>
        <w:spacing w:after="0" w:line="240" w:lineRule="auto"/>
      </w:pPr>
      <w:r>
        <w:separator/>
      </w:r>
    </w:p>
  </w:endnote>
  <w:endnote w:type="continuationSeparator" w:id="0">
    <w:p w:rsidR="008E6864" w:rsidRDefault="008E6864" w:rsidP="009D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78" w:rsidRPr="009D0F78" w:rsidRDefault="009D0F78">
    <w:pPr>
      <w:pStyle w:val="Footer"/>
    </w:pPr>
    <w:r w:rsidRPr="00D30B2D">
      <w:rPr>
        <w:rFonts w:cstheme="minorHAnsi"/>
      </w:rPr>
      <w:t>© 2017 David Kolitz</w:t>
    </w:r>
  </w:p>
  <w:p w:rsidR="009D0F78" w:rsidRDefault="009D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64" w:rsidRDefault="008E6864" w:rsidP="009D0F78">
      <w:pPr>
        <w:spacing w:after="0" w:line="240" w:lineRule="auto"/>
      </w:pPr>
      <w:r>
        <w:separator/>
      </w:r>
    </w:p>
  </w:footnote>
  <w:footnote w:type="continuationSeparator" w:id="0">
    <w:p w:rsidR="008E6864" w:rsidRDefault="008E6864" w:rsidP="009D0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22D"/>
    <w:multiLevelType w:val="hybridMultilevel"/>
    <w:tmpl w:val="4992EC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455C"/>
    <w:multiLevelType w:val="hybridMultilevel"/>
    <w:tmpl w:val="1ACED8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6AB5"/>
    <w:multiLevelType w:val="hybridMultilevel"/>
    <w:tmpl w:val="E7ECE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2545"/>
    <w:multiLevelType w:val="hybridMultilevel"/>
    <w:tmpl w:val="F6F224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6283"/>
    <w:multiLevelType w:val="hybridMultilevel"/>
    <w:tmpl w:val="0BF4EE98"/>
    <w:lvl w:ilvl="0" w:tplc="6E3C683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F2202"/>
    <w:multiLevelType w:val="hybridMultilevel"/>
    <w:tmpl w:val="CBDC3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F1921"/>
    <w:multiLevelType w:val="hybridMultilevel"/>
    <w:tmpl w:val="6494F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3147B"/>
    <w:multiLevelType w:val="hybridMultilevel"/>
    <w:tmpl w:val="DDA476E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8712ED6"/>
    <w:multiLevelType w:val="hybridMultilevel"/>
    <w:tmpl w:val="E3524390"/>
    <w:lvl w:ilvl="0" w:tplc="5BA2E30C">
      <w:start w:val="1"/>
      <w:numFmt w:val="bullet"/>
      <w:pStyle w:val="BODY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406CB"/>
    <w:multiLevelType w:val="hybridMultilevel"/>
    <w:tmpl w:val="7F1CF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D6358"/>
    <w:multiLevelType w:val="hybridMultilevel"/>
    <w:tmpl w:val="DFC668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130F3"/>
    <w:multiLevelType w:val="hybridMultilevel"/>
    <w:tmpl w:val="545EEF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DF"/>
    <w:rsid w:val="00286DDF"/>
    <w:rsid w:val="00480DA3"/>
    <w:rsid w:val="005A10D9"/>
    <w:rsid w:val="00727F44"/>
    <w:rsid w:val="00804088"/>
    <w:rsid w:val="008E01AF"/>
    <w:rsid w:val="008E6864"/>
    <w:rsid w:val="00961BBB"/>
    <w:rsid w:val="009D0F78"/>
    <w:rsid w:val="00B54212"/>
    <w:rsid w:val="00BD36F3"/>
    <w:rsid w:val="00D3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6BF74-6FC5-4F74-B1FE-53E9754D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1">
    <w:name w:val="*HEAD 1.1"/>
    <w:basedOn w:val="Normal"/>
    <w:qFormat/>
    <w:rsid w:val="005A10D9"/>
    <w:pPr>
      <w:spacing w:after="80" w:line="240" w:lineRule="auto"/>
    </w:pPr>
    <w:rPr>
      <w:rFonts w:ascii="Arial" w:eastAsia="Calibri" w:hAnsi="Arial" w:cs="Arial"/>
      <w:b/>
      <w:sz w:val="20"/>
      <w:szCs w:val="20"/>
    </w:rPr>
  </w:style>
  <w:style w:type="paragraph" w:customStyle="1" w:styleId="BODYPARA">
    <w:name w:val="*BODY PARA"/>
    <w:basedOn w:val="Normal"/>
    <w:qFormat/>
    <w:rsid w:val="005A10D9"/>
    <w:pPr>
      <w:tabs>
        <w:tab w:val="left" w:pos="340"/>
      </w:tabs>
      <w:spacing w:after="0" w:line="240" w:lineRule="auto"/>
      <w:jc w:val="both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BODYNUM1">
    <w:name w:val="*BODY NUM 1"/>
    <w:basedOn w:val="BODYPARA"/>
    <w:qFormat/>
    <w:rsid w:val="005A10D9"/>
    <w:pPr>
      <w:tabs>
        <w:tab w:val="clear" w:pos="340"/>
        <w:tab w:val="left" w:pos="426"/>
      </w:tabs>
      <w:spacing w:before="60" w:after="60"/>
      <w:ind w:left="426" w:hanging="426"/>
    </w:pPr>
  </w:style>
  <w:style w:type="paragraph" w:customStyle="1" w:styleId="HEADBOLD">
    <w:name w:val="*HEAD BOLD"/>
    <w:basedOn w:val="Normal"/>
    <w:qFormat/>
    <w:rsid w:val="005A10D9"/>
    <w:pPr>
      <w:tabs>
        <w:tab w:val="left" w:pos="567"/>
      </w:tabs>
      <w:spacing w:after="0" w:line="240" w:lineRule="auto"/>
    </w:pPr>
    <w:rPr>
      <w:rFonts w:ascii="Microsoft Sans Serif" w:eastAsia="Calibri" w:hAnsi="Microsoft Sans Serif" w:cs="Microsoft Sans Serif"/>
      <w:b/>
      <w:sz w:val="18"/>
      <w:szCs w:val="18"/>
    </w:rPr>
  </w:style>
  <w:style w:type="paragraph" w:customStyle="1" w:styleId="BODYBULLET">
    <w:name w:val="*BODY BULLET"/>
    <w:basedOn w:val="Normal"/>
    <w:qFormat/>
    <w:rsid w:val="005A10D9"/>
    <w:pPr>
      <w:numPr>
        <w:numId w:val="1"/>
      </w:numPr>
      <w:spacing w:before="60" w:after="60" w:line="240" w:lineRule="auto"/>
      <w:jc w:val="both"/>
    </w:pPr>
    <w:rPr>
      <w:rFonts w:ascii="Microsoft Sans Serif" w:eastAsia="Calibri" w:hAnsi="Microsoft Sans Serif" w:cs="Microsoft Sans Serif"/>
      <w:sz w:val="18"/>
      <w:szCs w:val="18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9D0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78"/>
  </w:style>
  <w:style w:type="paragraph" w:styleId="Footer">
    <w:name w:val="footer"/>
    <w:basedOn w:val="Normal"/>
    <w:link w:val="FooterChar"/>
    <w:uiPriority w:val="99"/>
    <w:unhideWhenUsed/>
    <w:rsid w:val="009D0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78"/>
  </w:style>
  <w:style w:type="paragraph" w:styleId="BalloonText">
    <w:name w:val="Balloon Text"/>
    <w:basedOn w:val="Normal"/>
    <w:link w:val="BalloonTextChar"/>
    <w:uiPriority w:val="99"/>
    <w:semiHidden/>
    <w:unhideWhenUsed/>
    <w:rsid w:val="009D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Ranscombe, Matthew</dc:creator>
  <cp:keywords/>
  <dc:description/>
  <cp:lastModifiedBy>Bell, Carrie</cp:lastModifiedBy>
  <cp:revision>7</cp:revision>
  <dcterms:created xsi:type="dcterms:W3CDTF">2017-11-30T14:35:00Z</dcterms:created>
  <dcterms:modified xsi:type="dcterms:W3CDTF">2018-01-16T14:58:00Z</dcterms:modified>
</cp:coreProperties>
</file>