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816" w:rsidRPr="00E97538" w:rsidRDefault="00FC337D" w:rsidP="00E97538">
      <w:pPr>
        <w:pStyle w:val="Heading2"/>
        <w:rPr>
          <w:color w:val="auto"/>
          <w:sz w:val="28"/>
          <w:szCs w:val="28"/>
        </w:rPr>
      </w:pPr>
      <w:r w:rsidRPr="00E97538">
        <w:rPr>
          <w:color w:val="auto"/>
          <w:sz w:val="28"/>
          <w:szCs w:val="28"/>
        </w:rPr>
        <w:t>Problem Set 3: Social programs</w:t>
      </w:r>
    </w:p>
    <w:p w:rsidR="00FC337D" w:rsidRPr="00E97538" w:rsidRDefault="00FC337D" w:rsidP="00FC337D">
      <w:pPr>
        <w:pStyle w:val="NoSpacing"/>
        <w:rPr>
          <w:rFonts w:cs="Times New Roman"/>
          <w:b/>
          <w:szCs w:val="24"/>
        </w:rPr>
      </w:pPr>
    </w:p>
    <w:p w:rsidR="008C2816" w:rsidRPr="00E97538" w:rsidRDefault="00FC337D" w:rsidP="00E97538">
      <w:pPr>
        <w:pStyle w:val="Heading3"/>
        <w:rPr>
          <w:color w:val="auto"/>
        </w:rPr>
      </w:pPr>
      <w:r w:rsidRPr="00E97538">
        <w:rPr>
          <w:color w:val="auto"/>
        </w:rPr>
        <w:t>Effect of PROGRESA conditional cash transfer program on education</w:t>
      </w:r>
    </w:p>
    <w:p w:rsidR="008C2816" w:rsidRDefault="008C2816" w:rsidP="00E97538">
      <w:pPr>
        <w:pStyle w:val="Heading3"/>
      </w:pPr>
    </w:p>
    <w:p w:rsidR="00FC337D" w:rsidRPr="00FC337D" w:rsidRDefault="00FC337D" w:rsidP="00FC337D">
      <w:pPr>
        <w:rPr>
          <w:szCs w:val="24"/>
        </w:rPr>
      </w:pPr>
      <w:r w:rsidRPr="00FC337D">
        <w:rPr>
          <w:szCs w:val="24"/>
        </w:rPr>
        <w:t xml:space="preserve">While primary school is almost universal in Mexico, secondary education in rural areas is trailing behind national average, especially among poor households.  In order to increase school enrollment among the youth in poor families of rural areas, the Mexican government introduced in 1998 the PROGRESA program </w:t>
      </w:r>
      <w:r w:rsidR="00A205E5">
        <w:rPr>
          <w:szCs w:val="24"/>
        </w:rPr>
        <w:t>which</w:t>
      </w:r>
      <w:r w:rsidRPr="00FC337D">
        <w:rPr>
          <w:szCs w:val="24"/>
        </w:rPr>
        <w:t xml:space="preserve"> gives cash transfers to mothers in poor households conditional on their children attending school regularly and receiving periodic medical checkups.  Implementation of the program was done as follows.  From a general census of the rural communities in Mexico, all the communities categorized as poor were selected to receive the program. Within all communities, a census was conducted prior to the announcement of the program to determine eligibility of the households.  The criterion of eligibility is based on a poverty index.  All children 6</w:t>
      </w:r>
      <w:r w:rsidR="00A205E5">
        <w:rPr>
          <w:szCs w:val="24"/>
        </w:rPr>
        <w:t xml:space="preserve"> </w:t>
      </w:r>
      <w:r w:rsidR="00A205E5">
        <w:rPr>
          <w:rFonts w:cs="Times New Roman"/>
          <w:szCs w:val="24"/>
        </w:rPr>
        <w:t>̶</w:t>
      </w:r>
      <w:r w:rsidR="00A205E5">
        <w:rPr>
          <w:szCs w:val="24"/>
        </w:rPr>
        <w:t xml:space="preserve"> </w:t>
      </w:r>
      <w:r w:rsidRPr="00FC337D">
        <w:rPr>
          <w:szCs w:val="24"/>
        </w:rPr>
        <w:t xml:space="preserve">16 years old in a poor household are eligible to receive the cash grant conditional on the fact that they go to school. The program started in 1998, and was progressively extended to cover all of rural Mexico in 2000.  </w:t>
      </w:r>
    </w:p>
    <w:p w:rsidR="00FC337D" w:rsidRPr="00FC337D" w:rsidRDefault="00FC337D" w:rsidP="00FC337D">
      <w:pPr>
        <w:rPr>
          <w:szCs w:val="24"/>
        </w:rPr>
      </w:pPr>
    </w:p>
    <w:p w:rsidR="00FC337D" w:rsidRPr="00FC337D" w:rsidRDefault="00FC337D" w:rsidP="00FC337D">
      <w:pPr>
        <w:rPr>
          <w:szCs w:val="24"/>
        </w:rPr>
      </w:pPr>
      <w:r w:rsidRPr="00FC337D">
        <w:rPr>
          <w:szCs w:val="24"/>
        </w:rPr>
        <w:t>Several documents evaluating the program are available on the IFPRI website. See in particular a summary of their findings in “Is Progresa Working?” by Emmanuel Skoufias and Bonnie McClafferty (April 1, 2004).  (</w:t>
      </w:r>
      <w:hyperlink r:id="rId8" w:history="1">
        <w:r w:rsidRPr="00FC337D">
          <w:rPr>
            <w:rStyle w:val="Hyperlink"/>
            <w:szCs w:val="24"/>
          </w:rPr>
          <w:t>http://www.ifpri.org/search/publications?page=3&amp;keys=Progresa</w:t>
        </w:r>
      </w:hyperlink>
      <w:r w:rsidRPr="00FC337D">
        <w:rPr>
          <w:szCs w:val="24"/>
        </w:rPr>
        <w:t>)</w:t>
      </w:r>
    </w:p>
    <w:p w:rsidR="00FC337D" w:rsidRPr="00FC337D" w:rsidRDefault="00FC337D" w:rsidP="00FC337D">
      <w:pPr>
        <w:rPr>
          <w:szCs w:val="24"/>
        </w:rPr>
      </w:pPr>
    </w:p>
    <w:p w:rsidR="00FC337D" w:rsidRPr="00FC337D" w:rsidRDefault="00FC337D" w:rsidP="00FC337D">
      <w:pPr>
        <w:rPr>
          <w:szCs w:val="24"/>
        </w:rPr>
      </w:pPr>
      <w:r w:rsidRPr="00FC337D">
        <w:rPr>
          <w:szCs w:val="24"/>
        </w:rPr>
        <w:t>To evaluate the program, 506 communities (a small number compared to the size of the program) were randomly assigned to be incorporated either in the first phase of the program in the Fall</w:t>
      </w:r>
      <w:r w:rsidR="000C0EB3">
        <w:rPr>
          <w:szCs w:val="24"/>
        </w:rPr>
        <w:t xml:space="preserve"> of </w:t>
      </w:r>
      <w:r w:rsidRPr="00FC337D">
        <w:rPr>
          <w:szCs w:val="24"/>
        </w:rPr>
        <w:t xml:space="preserve"> 1998 or in the third phase in the Fall </w:t>
      </w:r>
      <w:r w:rsidR="000C0EB3">
        <w:rPr>
          <w:szCs w:val="24"/>
        </w:rPr>
        <w:t xml:space="preserve">of </w:t>
      </w:r>
      <w:r w:rsidRPr="00FC337D">
        <w:rPr>
          <w:szCs w:val="24"/>
        </w:rPr>
        <w:t xml:space="preserve">2000. All of these communities were surveyed in 1997 and followed up with bi-annual surveys until the Fall </w:t>
      </w:r>
      <w:r w:rsidR="000C0EB3">
        <w:rPr>
          <w:szCs w:val="24"/>
        </w:rPr>
        <w:t xml:space="preserve">of </w:t>
      </w:r>
      <w:r w:rsidRPr="00FC337D">
        <w:rPr>
          <w:szCs w:val="24"/>
        </w:rPr>
        <w:t xml:space="preserve">2000. The communities targeted for late incorporation thus serve as control communities. Observations relating to 1997 were collected before the program and provide a baseline survey. We will use this large data set to better understand the determinants of school enrollment and evaluate the effects of the program. The data set that has been prepared for you contains information on 14,880 children between 10 and 15 years old. Information from all three surveys is combined in the data file </w:t>
      </w:r>
      <w:r w:rsidR="00DF2AC9">
        <w:rPr>
          <w:szCs w:val="24"/>
        </w:rPr>
        <w:t>ps3q1</w:t>
      </w:r>
      <w:r>
        <w:rPr>
          <w:szCs w:val="24"/>
        </w:rPr>
        <w:t>.dta.</w:t>
      </w:r>
    </w:p>
    <w:p w:rsidR="00B62C5A" w:rsidRDefault="00B62C5A" w:rsidP="00B62C5A">
      <w:pPr>
        <w:pStyle w:val="NoSpacing"/>
        <w:rPr>
          <w:rFonts w:eastAsiaTheme="minorEastAsia"/>
          <w:szCs w:val="24"/>
          <w:lang w:bidi="en-US"/>
        </w:rPr>
      </w:pPr>
    </w:p>
    <w:p w:rsidR="00B62C5A" w:rsidRPr="009A157D" w:rsidRDefault="00B62C5A" w:rsidP="00B62C5A">
      <w:pPr>
        <w:pStyle w:val="NoSpacing"/>
        <w:rPr>
          <w:b/>
          <w:lang w:bidi="en-US"/>
        </w:rPr>
      </w:pPr>
    </w:p>
    <w:p w:rsidR="008C2816" w:rsidRPr="00E97538" w:rsidRDefault="00FC337D" w:rsidP="00E97538">
      <w:pPr>
        <w:pStyle w:val="Heading3"/>
        <w:rPr>
          <w:color w:val="auto"/>
        </w:rPr>
      </w:pPr>
      <w:r w:rsidRPr="00E97538">
        <w:rPr>
          <w:color w:val="auto"/>
        </w:rPr>
        <w:t>I.  The schooling situation in the control villages</w:t>
      </w:r>
    </w:p>
    <w:p w:rsidR="008C2816" w:rsidRDefault="008C2816" w:rsidP="00E97538">
      <w:pPr>
        <w:pStyle w:val="Heading3"/>
      </w:pPr>
    </w:p>
    <w:p w:rsidR="00FC337D" w:rsidRPr="00FC337D" w:rsidRDefault="00FC337D" w:rsidP="00FC337D">
      <w:pPr>
        <w:rPr>
          <w:szCs w:val="24"/>
        </w:rPr>
      </w:pPr>
      <w:r w:rsidRPr="00FC337D">
        <w:rPr>
          <w:szCs w:val="24"/>
        </w:rPr>
        <w:t>Consider for now the children from the control villages only, i.e., villages where PROGRESA is not implemented. Each child is characterized by the grad</w:t>
      </w:r>
      <w:bookmarkStart w:id="0" w:name="_GoBack"/>
      <w:bookmarkEnd w:id="0"/>
      <w:r w:rsidRPr="00FC337D">
        <w:rPr>
          <w:szCs w:val="24"/>
        </w:rPr>
        <w:t>e s/he has completed by the Fall of 1998 (attain98). Primary school extends to 6</w:t>
      </w:r>
      <w:r w:rsidR="00957BF9" w:rsidRPr="00E97538">
        <w:rPr>
          <w:szCs w:val="24"/>
        </w:rPr>
        <w:t>th</w:t>
      </w:r>
      <w:r w:rsidRPr="00FC337D">
        <w:rPr>
          <w:szCs w:val="24"/>
        </w:rPr>
        <w:t xml:space="preserve"> grade, junior high is 7</w:t>
      </w:r>
      <w:r w:rsidR="00957BF9" w:rsidRPr="00E97538">
        <w:rPr>
          <w:szCs w:val="24"/>
        </w:rPr>
        <w:t>th</w:t>
      </w:r>
      <w:r w:rsidRPr="00FC337D">
        <w:rPr>
          <w:szCs w:val="24"/>
        </w:rPr>
        <w:t xml:space="preserve"> to 9</w:t>
      </w:r>
      <w:r w:rsidR="00957BF9" w:rsidRPr="00E97538">
        <w:rPr>
          <w:szCs w:val="24"/>
        </w:rPr>
        <w:t>th</w:t>
      </w:r>
      <w:r w:rsidRPr="00FC337D">
        <w:rPr>
          <w:szCs w:val="24"/>
        </w:rPr>
        <w:t xml:space="preserve"> grade, high school is 10</w:t>
      </w:r>
      <w:r w:rsidR="00957BF9" w:rsidRPr="00E97538">
        <w:rPr>
          <w:szCs w:val="24"/>
        </w:rPr>
        <w:t>th</w:t>
      </w:r>
      <w:r w:rsidRPr="00FC337D">
        <w:rPr>
          <w:szCs w:val="24"/>
        </w:rPr>
        <w:t xml:space="preserve"> to 12</w:t>
      </w:r>
      <w:r w:rsidR="00957BF9" w:rsidRPr="00E97538">
        <w:rPr>
          <w:szCs w:val="24"/>
        </w:rPr>
        <w:t>th</w:t>
      </w:r>
      <w:r w:rsidRPr="00FC337D">
        <w:rPr>
          <w:szCs w:val="24"/>
        </w:rPr>
        <w:t>, and post-secondary above 12</w:t>
      </w:r>
      <w:r w:rsidR="00957BF9" w:rsidRPr="00E97538">
        <w:rPr>
          <w:szCs w:val="24"/>
        </w:rPr>
        <w:t>th</w:t>
      </w:r>
      <w:r w:rsidRPr="00FC337D">
        <w:rPr>
          <w:szCs w:val="24"/>
        </w:rPr>
        <w:t xml:space="preserve">. </w:t>
      </w:r>
    </w:p>
    <w:p w:rsidR="00FC337D" w:rsidRPr="00FC337D" w:rsidRDefault="00FC337D" w:rsidP="00FC337D">
      <w:pPr>
        <w:ind w:firstLine="720"/>
        <w:rPr>
          <w:szCs w:val="24"/>
        </w:rPr>
      </w:pPr>
    </w:p>
    <w:p w:rsidR="00FC337D" w:rsidRPr="00FC337D" w:rsidRDefault="00FC337D" w:rsidP="00FC337D">
      <w:pPr>
        <w:rPr>
          <w:szCs w:val="24"/>
        </w:rPr>
      </w:pPr>
      <w:r w:rsidRPr="00FC337D">
        <w:rPr>
          <w:szCs w:val="24"/>
        </w:rPr>
        <w:t>In this section, you will illustrate and discuss the two problems of low enrollment and high grade failure rates.</w:t>
      </w:r>
    </w:p>
    <w:p w:rsidR="00FC337D" w:rsidRPr="00FC337D" w:rsidRDefault="00FC337D" w:rsidP="00FC337D">
      <w:pPr>
        <w:rPr>
          <w:szCs w:val="24"/>
        </w:rPr>
      </w:pPr>
    </w:p>
    <w:p w:rsidR="00FC337D" w:rsidRPr="00FC337D" w:rsidRDefault="00FC337D" w:rsidP="00E97538">
      <w:pPr>
        <w:pStyle w:val="ListParagraph"/>
        <w:numPr>
          <w:ilvl w:val="0"/>
          <w:numId w:val="1"/>
        </w:numPr>
        <w:ind w:left="0" w:firstLine="0"/>
        <w:rPr>
          <w:szCs w:val="24"/>
        </w:rPr>
      </w:pPr>
      <w:r w:rsidRPr="00FC337D">
        <w:rPr>
          <w:szCs w:val="24"/>
        </w:rPr>
        <w:lastRenderedPageBreak/>
        <w:t xml:space="preserve">To document issues of enrollment rate prepare a table that shows the proportion of children that are not enrolled in 1998, by age. </w:t>
      </w:r>
    </w:p>
    <w:p w:rsidR="00FC337D" w:rsidRPr="00FC337D" w:rsidRDefault="00FC337D" w:rsidP="00E97538">
      <w:pPr>
        <w:rPr>
          <w:szCs w:val="24"/>
        </w:rPr>
      </w:pPr>
    </w:p>
    <w:p w:rsidR="00FC337D" w:rsidRPr="00FC337D" w:rsidRDefault="00FC337D" w:rsidP="00E97538">
      <w:pPr>
        <w:pStyle w:val="ListParagraph"/>
        <w:numPr>
          <w:ilvl w:val="0"/>
          <w:numId w:val="1"/>
        </w:numPr>
        <w:ind w:left="0" w:firstLine="0"/>
        <w:rPr>
          <w:szCs w:val="24"/>
        </w:rPr>
      </w:pPr>
      <w:r w:rsidRPr="00FC337D">
        <w:rPr>
          <w:szCs w:val="24"/>
        </w:rPr>
        <w:t>The children that drop out of school in 1998 are characterized by being enrolled in 1997 (enrolled97=1) and not enrolled in 1998 (enrolled98=0) while those that continue school are enrolled in 1998 (enrolled98=1).  Prepare a table that shows the dropout rate by grade level in 1998.  (Remember that we are focusing on the 10</w:t>
      </w:r>
      <w:r w:rsidR="000C0EB3">
        <w:rPr>
          <w:szCs w:val="24"/>
        </w:rPr>
        <w:t xml:space="preserve"> </w:t>
      </w:r>
      <w:r w:rsidR="000C0EB3">
        <w:rPr>
          <w:rFonts w:cs="Times New Roman"/>
          <w:szCs w:val="24"/>
        </w:rPr>
        <w:t>̶</w:t>
      </w:r>
      <w:r w:rsidR="000C0EB3">
        <w:rPr>
          <w:szCs w:val="24"/>
        </w:rPr>
        <w:t xml:space="preserve"> </w:t>
      </w:r>
      <w:r w:rsidRPr="00FC337D">
        <w:rPr>
          <w:szCs w:val="24"/>
        </w:rPr>
        <w:t xml:space="preserve">15 years old only, so we do not have most of the </w:t>
      </w:r>
      <w:r w:rsidR="000C0EB3">
        <w:rPr>
          <w:szCs w:val="24"/>
        </w:rPr>
        <w:t>children</w:t>
      </w:r>
      <w:r w:rsidRPr="00FC337D">
        <w:rPr>
          <w:szCs w:val="24"/>
        </w:rPr>
        <w:t xml:space="preserve"> attending the lower grades.)</w:t>
      </w:r>
    </w:p>
    <w:p w:rsidR="00FC337D" w:rsidRPr="00FC337D" w:rsidRDefault="00FC337D" w:rsidP="00E97538">
      <w:pPr>
        <w:rPr>
          <w:szCs w:val="24"/>
        </w:rPr>
      </w:pPr>
    </w:p>
    <w:p w:rsidR="00FC337D" w:rsidRPr="00FC337D" w:rsidRDefault="00FC337D" w:rsidP="00E97538">
      <w:pPr>
        <w:pStyle w:val="ListParagraph"/>
        <w:numPr>
          <w:ilvl w:val="0"/>
          <w:numId w:val="1"/>
        </w:numPr>
        <w:ind w:left="0" w:firstLine="0"/>
        <w:rPr>
          <w:szCs w:val="24"/>
        </w:rPr>
      </w:pPr>
      <w:r w:rsidRPr="00FC337D">
        <w:rPr>
          <w:szCs w:val="24"/>
        </w:rPr>
        <w:t xml:space="preserve">Failure of a grade in 1997 is characterized by the fact that the child was enrolled in 1997 and the completed grade at the beginning of the 1998 academic year was equal to that at the beginning of the 1997 academic year.  To illustrate the issue of failure rate, prepare a table that gives the failure rate by grade.  Discuss your results.  </w:t>
      </w:r>
    </w:p>
    <w:p w:rsidR="00FC337D" w:rsidRPr="00FC337D" w:rsidRDefault="00FC337D" w:rsidP="00E97538">
      <w:pPr>
        <w:rPr>
          <w:szCs w:val="24"/>
        </w:rPr>
      </w:pPr>
    </w:p>
    <w:p w:rsidR="00FC337D" w:rsidRPr="00FC337D" w:rsidRDefault="00FC337D" w:rsidP="00E97538">
      <w:pPr>
        <w:pStyle w:val="ListParagraph"/>
        <w:numPr>
          <w:ilvl w:val="0"/>
          <w:numId w:val="1"/>
        </w:numPr>
        <w:ind w:left="0" w:firstLine="0"/>
        <w:rPr>
          <w:szCs w:val="24"/>
        </w:rPr>
      </w:pPr>
      <w:r w:rsidRPr="00FC337D">
        <w:rPr>
          <w:szCs w:val="24"/>
        </w:rPr>
        <w:t xml:space="preserve">To further illustrate the importance of the problem of entry into secondary school, consider only the children that were in school in 1997 and had completed the 6th year of primary school by the Fall of 1998 (attain98=6).  Report the dropout rate in 1998 of children by gender, by poverty status, and by distance to secondary school.  Perform tests for the differences in dropout rates between these groups.  </w:t>
      </w:r>
    </w:p>
    <w:p w:rsidR="00FC337D" w:rsidRPr="00FC337D" w:rsidRDefault="00FC337D" w:rsidP="00E97538">
      <w:pPr>
        <w:rPr>
          <w:szCs w:val="24"/>
        </w:rPr>
      </w:pPr>
    </w:p>
    <w:p w:rsidR="00FC337D" w:rsidRPr="00FC337D" w:rsidRDefault="00FC337D" w:rsidP="00E97538">
      <w:pPr>
        <w:pStyle w:val="ListParagraph"/>
        <w:numPr>
          <w:ilvl w:val="0"/>
          <w:numId w:val="1"/>
        </w:numPr>
        <w:ind w:left="0" w:firstLine="0"/>
        <w:rPr>
          <w:szCs w:val="24"/>
        </w:rPr>
      </w:pPr>
      <w:r w:rsidRPr="00FC337D">
        <w:rPr>
          <w:szCs w:val="24"/>
        </w:rPr>
        <w:t>Taking these results together, describe the schooling problem in the poor communities of rural Mexico.  Evaluate the coverage and targeting schemes of PROGRESA (i.e., to whom should cash transfers go in priority and to whom do they actually go).</w:t>
      </w:r>
    </w:p>
    <w:p w:rsidR="00FC337D" w:rsidRPr="00FC337D" w:rsidRDefault="00FC337D" w:rsidP="00E97538">
      <w:pPr>
        <w:rPr>
          <w:szCs w:val="24"/>
        </w:rPr>
      </w:pPr>
    </w:p>
    <w:p w:rsidR="00FC337D" w:rsidRPr="00FC337D" w:rsidRDefault="00FC337D" w:rsidP="00BA12D4">
      <w:pPr>
        <w:rPr>
          <w:szCs w:val="24"/>
        </w:rPr>
      </w:pPr>
    </w:p>
    <w:p w:rsidR="008C2816" w:rsidRPr="00E97538" w:rsidRDefault="00E73231" w:rsidP="00E97538">
      <w:pPr>
        <w:pStyle w:val="Heading3"/>
        <w:rPr>
          <w:color w:val="auto"/>
        </w:rPr>
      </w:pPr>
      <w:r w:rsidRPr="00E97538">
        <w:rPr>
          <w:color w:val="auto"/>
        </w:rPr>
        <w:t xml:space="preserve">II. </w:t>
      </w:r>
      <w:r w:rsidR="00FC337D" w:rsidRPr="00E97538">
        <w:rPr>
          <w:color w:val="auto"/>
        </w:rPr>
        <w:t>Impact analysis on continuation rate and performance based on random assignment of the program</w:t>
      </w:r>
    </w:p>
    <w:p w:rsidR="00FC337D" w:rsidRPr="00FC337D" w:rsidRDefault="00FC337D" w:rsidP="00FC337D">
      <w:pPr>
        <w:rPr>
          <w:szCs w:val="24"/>
        </w:rPr>
      </w:pPr>
    </w:p>
    <w:p w:rsidR="00FC337D" w:rsidRPr="00FC337D" w:rsidRDefault="00FC337D" w:rsidP="00FC337D">
      <w:pPr>
        <w:pStyle w:val="Style1"/>
        <w:rPr>
          <w:sz w:val="24"/>
          <w:szCs w:val="24"/>
        </w:rPr>
      </w:pPr>
      <w:r w:rsidRPr="00FC337D">
        <w:rPr>
          <w:sz w:val="24"/>
          <w:szCs w:val="24"/>
        </w:rPr>
        <w:t xml:space="preserve">Since the placement of the program has been randomized, a simple difference between the average behavior of eligible children in treatment and control communities gives the average impact of the program.  We focus on the decision to continue school.  The population of interest is thus the children that were in school in 1997 and are poor (eligible for the program).  </w:t>
      </w:r>
    </w:p>
    <w:p w:rsidR="00FC337D" w:rsidRPr="00FC337D" w:rsidRDefault="00FC337D" w:rsidP="00FC337D">
      <w:pPr>
        <w:pStyle w:val="Style1"/>
        <w:rPr>
          <w:sz w:val="24"/>
          <w:szCs w:val="24"/>
        </w:rPr>
      </w:pPr>
    </w:p>
    <w:p w:rsidR="00FC337D" w:rsidRPr="00FC337D" w:rsidRDefault="00FC337D" w:rsidP="00E97538">
      <w:pPr>
        <w:pStyle w:val="Style1"/>
        <w:numPr>
          <w:ilvl w:val="0"/>
          <w:numId w:val="2"/>
        </w:numPr>
        <w:ind w:left="0" w:firstLine="0"/>
        <w:rPr>
          <w:sz w:val="24"/>
          <w:szCs w:val="24"/>
        </w:rPr>
      </w:pPr>
      <w:r w:rsidRPr="00FC337D">
        <w:rPr>
          <w:sz w:val="24"/>
          <w:szCs w:val="24"/>
        </w:rPr>
        <w:t xml:space="preserve">Estimate the impact of the program on the continuation rate in 1998 by simple difference for all the </w:t>
      </w:r>
      <w:r w:rsidR="000C0EB3">
        <w:rPr>
          <w:sz w:val="24"/>
          <w:szCs w:val="24"/>
        </w:rPr>
        <w:t>children</w:t>
      </w:r>
      <w:r w:rsidRPr="00FC337D">
        <w:rPr>
          <w:sz w:val="24"/>
          <w:szCs w:val="24"/>
        </w:rPr>
        <w:t xml:space="preserve">, and by grade.  </w:t>
      </w:r>
    </w:p>
    <w:p w:rsidR="00FC337D" w:rsidRPr="00FC337D" w:rsidRDefault="00FC337D" w:rsidP="00E97538">
      <w:pPr>
        <w:pStyle w:val="Style1"/>
        <w:rPr>
          <w:sz w:val="24"/>
          <w:szCs w:val="24"/>
        </w:rPr>
      </w:pPr>
    </w:p>
    <w:p w:rsidR="00FC337D" w:rsidRPr="00FC337D" w:rsidRDefault="00FC337D" w:rsidP="00E97538">
      <w:pPr>
        <w:pStyle w:val="ListParagraph"/>
        <w:numPr>
          <w:ilvl w:val="0"/>
          <w:numId w:val="2"/>
        </w:numPr>
        <w:ind w:left="0" w:firstLine="0"/>
        <w:rPr>
          <w:szCs w:val="24"/>
        </w:rPr>
      </w:pPr>
      <w:r w:rsidRPr="00FC337D">
        <w:rPr>
          <w:szCs w:val="24"/>
        </w:rPr>
        <w:t xml:space="preserve">Looking now at those children that indeed continued school in 1998, estimate the impact of the program on the failure rate in 1998 overall and by grade level by simple difference.  </w:t>
      </w:r>
    </w:p>
    <w:p w:rsidR="00FC337D" w:rsidRPr="00FC337D" w:rsidRDefault="00FC337D" w:rsidP="00BA12D4">
      <w:pPr>
        <w:rPr>
          <w:szCs w:val="24"/>
        </w:rPr>
      </w:pPr>
    </w:p>
    <w:p w:rsidR="00FC337D" w:rsidRPr="00FC337D" w:rsidRDefault="00FC337D" w:rsidP="00E97538">
      <w:pPr>
        <w:pStyle w:val="ListParagraph"/>
        <w:numPr>
          <w:ilvl w:val="0"/>
          <w:numId w:val="2"/>
        </w:numPr>
        <w:ind w:left="0" w:firstLine="0"/>
        <w:rPr>
          <w:szCs w:val="24"/>
        </w:rPr>
      </w:pPr>
      <w:r w:rsidRPr="00FC337D">
        <w:rPr>
          <w:szCs w:val="24"/>
        </w:rPr>
        <w:t xml:space="preserve">Discussion: What aspects of the PROGRESA program could improve performance and reduce failure rates?  What aspect could increase failure rates?  </w:t>
      </w:r>
    </w:p>
    <w:p w:rsidR="00FC337D" w:rsidRPr="00FC337D" w:rsidRDefault="00FC337D" w:rsidP="00BA12D4">
      <w:pPr>
        <w:rPr>
          <w:szCs w:val="24"/>
        </w:rPr>
      </w:pPr>
    </w:p>
    <w:p w:rsidR="00FC337D" w:rsidRDefault="00FC337D" w:rsidP="00E97538">
      <w:pPr>
        <w:pStyle w:val="Style1"/>
        <w:numPr>
          <w:ilvl w:val="0"/>
          <w:numId w:val="2"/>
        </w:numPr>
        <w:ind w:left="0" w:firstLine="0"/>
        <w:rPr>
          <w:sz w:val="24"/>
          <w:szCs w:val="24"/>
        </w:rPr>
      </w:pPr>
      <w:r w:rsidRPr="00FC337D">
        <w:rPr>
          <w:sz w:val="24"/>
          <w:szCs w:val="24"/>
        </w:rPr>
        <w:t>Focusing on entry to secondary school, check if PROGRESA has a differential impact by gender, and according to whether there is a</w:t>
      </w:r>
      <w:r w:rsidR="00B62C5A">
        <w:rPr>
          <w:sz w:val="24"/>
          <w:szCs w:val="24"/>
        </w:rPr>
        <w:t xml:space="preserve"> school in the village or not.</w:t>
      </w:r>
    </w:p>
    <w:p w:rsidR="008C2816" w:rsidRDefault="008C2816" w:rsidP="00E97538">
      <w:pPr>
        <w:pStyle w:val="Style1"/>
        <w:rPr>
          <w:sz w:val="24"/>
          <w:szCs w:val="24"/>
        </w:rPr>
      </w:pPr>
    </w:p>
    <w:p w:rsidR="008C2816" w:rsidRPr="00E97538" w:rsidRDefault="00FC337D" w:rsidP="00E97538">
      <w:pPr>
        <w:pStyle w:val="Heading3"/>
        <w:rPr>
          <w:color w:val="auto"/>
        </w:rPr>
      </w:pPr>
      <w:r w:rsidRPr="00E97538">
        <w:rPr>
          <w:color w:val="auto"/>
        </w:rPr>
        <w:lastRenderedPageBreak/>
        <w:t>III. Robustness check for the continuation rate in secondary school</w:t>
      </w:r>
    </w:p>
    <w:p w:rsidR="00FC337D" w:rsidRPr="00FC337D" w:rsidRDefault="00FC337D" w:rsidP="00FC337D">
      <w:pPr>
        <w:pStyle w:val="Heading1"/>
        <w:keepNext w:val="0"/>
        <w:rPr>
          <w:sz w:val="24"/>
          <w:szCs w:val="24"/>
        </w:rPr>
      </w:pPr>
    </w:p>
    <w:p w:rsidR="00FC337D" w:rsidRDefault="00FC337D" w:rsidP="00E97538">
      <w:pPr>
        <w:pStyle w:val="Style1"/>
        <w:numPr>
          <w:ilvl w:val="0"/>
          <w:numId w:val="3"/>
        </w:numPr>
        <w:ind w:left="0" w:firstLine="0"/>
        <w:jc w:val="left"/>
        <w:rPr>
          <w:sz w:val="24"/>
          <w:szCs w:val="24"/>
        </w:rPr>
      </w:pPr>
      <w:r w:rsidRPr="00B62C5A">
        <w:rPr>
          <w:sz w:val="24"/>
          <w:szCs w:val="24"/>
        </w:rPr>
        <w:t xml:space="preserve"> To check robustness, calculate the impact of PROGRESA on continuation rate in secondary school in 1998 in a regression model, adding individual covariates (age, parents’ education, etc.) and the presence of a secondary school in the village. Compare to the impact estimate found in</w:t>
      </w:r>
      <w:r w:rsidR="00B62C5A" w:rsidRPr="00B62C5A">
        <w:rPr>
          <w:sz w:val="24"/>
          <w:szCs w:val="24"/>
        </w:rPr>
        <w:t xml:space="preserve"> section 2, question 1</w:t>
      </w:r>
      <w:r w:rsidR="00B62C5A">
        <w:rPr>
          <w:sz w:val="24"/>
          <w:szCs w:val="24"/>
        </w:rPr>
        <w:t>.</w:t>
      </w:r>
    </w:p>
    <w:p w:rsidR="00FC337D" w:rsidRDefault="00FC337D" w:rsidP="00E97538">
      <w:pPr>
        <w:pStyle w:val="Style1"/>
        <w:jc w:val="left"/>
        <w:rPr>
          <w:sz w:val="24"/>
          <w:szCs w:val="24"/>
        </w:rPr>
      </w:pPr>
    </w:p>
    <w:p w:rsidR="00B62C5A" w:rsidRPr="00E97538" w:rsidRDefault="00B62C5A" w:rsidP="00E97538">
      <w:pPr>
        <w:pStyle w:val="Style1"/>
        <w:jc w:val="left"/>
        <w:rPr>
          <w:sz w:val="24"/>
          <w:szCs w:val="24"/>
        </w:rPr>
      </w:pPr>
      <m:oMathPara>
        <m:oMath>
          <m:r>
            <w:rPr>
              <w:rFonts w:ascii="Cambria Math" w:hAnsi="Cambria Math"/>
              <w:sz w:val="24"/>
              <w:szCs w:val="24"/>
            </w:rPr>
            <m:t>Enroll98=a+bT+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k</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k</m:t>
              </m:r>
            </m:sub>
          </m:sSub>
          <m:r>
            <w:rPr>
              <w:rFonts w:ascii="Cambria Math" w:hAnsi="Cambria Math"/>
              <w:sz w:val="24"/>
              <w:szCs w:val="24"/>
            </w:rPr>
            <m:t>+u</m:t>
          </m:r>
        </m:oMath>
      </m:oMathPara>
    </w:p>
    <w:p w:rsidR="00FC337D" w:rsidRPr="00E97538" w:rsidRDefault="00FC337D" w:rsidP="00E97538">
      <w:pPr>
        <w:pStyle w:val="Style1"/>
        <w:jc w:val="left"/>
        <w:rPr>
          <w:sz w:val="24"/>
          <w:szCs w:val="24"/>
        </w:rPr>
      </w:pPr>
    </w:p>
    <w:p w:rsidR="00FC337D" w:rsidRPr="00FC337D" w:rsidRDefault="00FC337D" w:rsidP="00E97538">
      <w:pPr>
        <w:pStyle w:val="Style1"/>
        <w:jc w:val="left"/>
        <w:rPr>
          <w:sz w:val="24"/>
          <w:szCs w:val="24"/>
          <w:vertAlign w:val="subscript"/>
        </w:rPr>
      </w:pPr>
      <w:r w:rsidRPr="00E97538">
        <w:rPr>
          <w:sz w:val="24"/>
          <w:szCs w:val="24"/>
        </w:rPr>
        <w:t xml:space="preserve">where </w:t>
      </w:r>
      <w:r w:rsidR="00957BF9" w:rsidRPr="00E97538">
        <w:rPr>
          <w:i/>
          <w:sz w:val="24"/>
          <w:szCs w:val="24"/>
        </w:rPr>
        <w:t>T</w:t>
      </w:r>
      <w:r w:rsidRPr="00E97538">
        <w:rPr>
          <w:sz w:val="24"/>
          <w:szCs w:val="24"/>
        </w:rPr>
        <w:t xml:space="preserve"> is the treatment variable, and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k</m:t>
            </m:r>
          </m:sub>
        </m:sSub>
      </m:oMath>
      <w:r w:rsidRPr="00E97538">
        <w:rPr>
          <w:sz w:val="24"/>
          <w:szCs w:val="24"/>
        </w:rPr>
        <w:t xml:space="preserve"> are covariates.</w:t>
      </w:r>
    </w:p>
    <w:p w:rsidR="00FC337D" w:rsidRPr="00FC337D" w:rsidRDefault="00FC337D" w:rsidP="00E97538">
      <w:pPr>
        <w:pStyle w:val="Style1"/>
        <w:jc w:val="left"/>
        <w:rPr>
          <w:sz w:val="24"/>
          <w:szCs w:val="24"/>
        </w:rPr>
      </w:pPr>
    </w:p>
    <w:p w:rsidR="00FC337D" w:rsidRPr="00FC337D" w:rsidRDefault="00FC337D" w:rsidP="00E97538">
      <w:pPr>
        <w:pStyle w:val="Style1"/>
        <w:numPr>
          <w:ilvl w:val="0"/>
          <w:numId w:val="3"/>
        </w:numPr>
        <w:ind w:left="0" w:firstLine="0"/>
        <w:jc w:val="left"/>
        <w:rPr>
          <w:sz w:val="24"/>
          <w:szCs w:val="24"/>
        </w:rPr>
      </w:pPr>
      <w:r w:rsidRPr="00FC337D">
        <w:rPr>
          <w:sz w:val="24"/>
          <w:szCs w:val="24"/>
        </w:rPr>
        <w:t>Use the results on the covariates to comment on the main correlates of continuation to secondary school.  Does this suggest complementary programs that could further increase continuation to secondary school?</w:t>
      </w:r>
    </w:p>
    <w:p w:rsidR="00FC337D" w:rsidRPr="00B62C5A" w:rsidRDefault="00FC337D" w:rsidP="00E97538">
      <w:pPr>
        <w:pStyle w:val="Style1"/>
        <w:jc w:val="left"/>
        <w:rPr>
          <w:sz w:val="24"/>
          <w:szCs w:val="24"/>
        </w:rPr>
      </w:pPr>
    </w:p>
    <w:p w:rsidR="00FC337D" w:rsidRPr="00FC337D" w:rsidRDefault="00FC337D" w:rsidP="00E97538">
      <w:pPr>
        <w:pStyle w:val="Style1"/>
        <w:numPr>
          <w:ilvl w:val="0"/>
          <w:numId w:val="3"/>
        </w:numPr>
        <w:ind w:left="0" w:firstLine="0"/>
        <w:jc w:val="left"/>
        <w:rPr>
          <w:b/>
          <w:sz w:val="24"/>
          <w:szCs w:val="24"/>
        </w:rPr>
      </w:pPr>
      <w:r w:rsidRPr="00B62C5A">
        <w:rPr>
          <w:sz w:val="24"/>
          <w:szCs w:val="24"/>
        </w:rPr>
        <w:t xml:space="preserve">As a check of robustness, compare the continuation rate to secondary school in 1998 of the </w:t>
      </w:r>
      <w:r w:rsidRPr="00FC337D">
        <w:rPr>
          <w:sz w:val="24"/>
          <w:szCs w:val="24"/>
        </w:rPr>
        <w:t>non-eligible children in the treatment and control groups. Comment on your results.</w:t>
      </w:r>
    </w:p>
    <w:p w:rsidR="00FC337D" w:rsidRDefault="00FC337D" w:rsidP="00E97538">
      <w:pPr>
        <w:pStyle w:val="Style1"/>
        <w:jc w:val="left"/>
        <w:rPr>
          <w:sz w:val="24"/>
          <w:szCs w:val="24"/>
        </w:rPr>
      </w:pPr>
    </w:p>
    <w:p w:rsidR="00FF1EAA" w:rsidRPr="00FC337D" w:rsidRDefault="00FF1EAA" w:rsidP="00E97538">
      <w:pPr>
        <w:pStyle w:val="Style1"/>
        <w:jc w:val="left"/>
        <w:rPr>
          <w:sz w:val="24"/>
          <w:szCs w:val="24"/>
        </w:rPr>
      </w:pPr>
    </w:p>
    <w:p w:rsidR="008C2816" w:rsidRPr="00E97538" w:rsidRDefault="00FC337D" w:rsidP="00E97538">
      <w:pPr>
        <w:pStyle w:val="Heading3"/>
        <w:rPr>
          <w:color w:val="auto"/>
        </w:rPr>
      </w:pPr>
      <w:r w:rsidRPr="00E97538">
        <w:rPr>
          <w:color w:val="auto"/>
        </w:rPr>
        <w:t>IV. Estimation by double difference of the failure rate</w:t>
      </w:r>
    </w:p>
    <w:p w:rsidR="00FC337D" w:rsidRPr="00FC337D" w:rsidRDefault="00FC337D" w:rsidP="00FC337D">
      <w:pPr>
        <w:rPr>
          <w:szCs w:val="24"/>
        </w:rPr>
      </w:pPr>
    </w:p>
    <w:p w:rsidR="00FC337D" w:rsidRPr="00FC337D" w:rsidRDefault="00FC337D" w:rsidP="00FC337D">
      <w:pPr>
        <w:pStyle w:val="Style1"/>
        <w:rPr>
          <w:sz w:val="24"/>
          <w:szCs w:val="24"/>
        </w:rPr>
      </w:pPr>
      <w:r w:rsidRPr="00FC337D">
        <w:rPr>
          <w:sz w:val="24"/>
          <w:szCs w:val="24"/>
        </w:rPr>
        <w:t>Comparing the pre- and post-program failure rates in the treatment and control group, give the double difference estimation of the impact of the program on failure rates of the last year of primary school and the first year of junior high.  Comment. (Note: to find the standard error on the difference of the two estimates, use the formu</w:t>
      </w:r>
      <w:r w:rsidRPr="00E97538">
        <w:rPr>
          <w:sz w:val="24"/>
          <w:szCs w:val="24"/>
        </w:rPr>
        <w:t xml:space="preserve">la </w:t>
      </w:r>
      <m:oMath>
        <m:r>
          <w:rPr>
            <w:rFonts w:ascii="Cambria Math" w:hAnsi="Cambria Math"/>
            <w:sz w:val="24"/>
            <w:szCs w:val="24"/>
          </w:rPr>
          <m:t>var</m:t>
        </m:r>
        <m:d>
          <m:dPr>
            <m:ctrlPr>
              <w:rPr>
                <w:rFonts w:ascii="Cambria Math" w:hAnsi="Cambria Math"/>
                <w:i/>
                <w:sz w:val="24"/>
                <w:szCs w:val="24"/>
              </w:rPr>
            </m:ctrlPr>
          </m:dPr>
          <m:e>
            <m:r>
              <w:rPr>
                <w:rFonts w:ascii="Cambria Math" w:hAnsi="Cambria Math"/>
                <w:sz w:val="24"/>
                <w:szCs w:val="24"/>
              </w:rPr>
              <m:t>x-y</m:t>
            </m:r>
          </m:e>
        </m:d>
        <m:r>
          <w:rPr>
            <w:rFonts w:ascii="Cambria Math" w:hAnsi="Cambria Math"/>
            <w:sz w:val="24"/>
            <w:szCs w:val="24"/>
          </w:rPr>
          <m:t>=var</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+var(y)</m:t>
        </m:r>
      </m:oMath>
      <w:r w:rsidR="00FF1EAA" w:rsidRPr="00E97538">
        <w:rPr>
          <w:sz w:val="24"/>
          <w:szCs w:val="24"/>
        </w:rPr>
        <w:t xml:space="preserve"> </w:t>
      </w:r>
      <w:r w:rsidRPr="00E97538">
        <w:rPr>
          <w:sz w:val="24"/>
          <w:szCs w:val="24"/>
        </w:rPr>
        <w:t xml:space="preserve">for two non-correlated variables </w:t>
      </w:r>
      <m:oMath>
        <m:r>
          <w:rPr>
            <w:rFonts w:ascii="Cambria Math" w:hAnsi="Cambria Math"/>
            <w:sz w:val="24"/>
            <w:szCs w:val="24"/>
          </w:rPr>
          <m:t>x</m:t>
        </m:r>
      </m:oMath>
      <w:r w:rsidRPr="00E97538">
        <w:rPr>
          <w:sz w:val="24"/>
          <w:szCs w:val="24"/>
        </w:rPr>
        <w:t xml:space="preserve"> and</w:t>
      </w:r>
      <w:r w:rsidR="00FF1EAA" w:rsidRPr="00E97538">
        <w:rPr>
          <w:sz w:val="24"/>
          <w:szCs w:val="24"/>
        </w:rPr>
        <w:t xml:space="preserve"> </w:t>
      </w:r>
      <m:oMath>
        <m:r>
          <w:rPr>
            <w:rFonts w:ascii="Cambria Math" w:hAnsi="Cambria Math"/>
            <w:sz w:val="24"/>
            <w:szCs w:val="24"/>
          </w:rPr>
          <m:t>y</m:t>
        </m:r>
      </m:oMath>
      <w:r w:rsidRPr="00E97538">
        <w:rPr>
          <w:sz w:val="24"/>
          <w:szCs w:val="24"/>
        </w:rPr>
        <w:t>).  Comment.</w:t>
      </w:r>
    </w:p>
    <w:p w:rsidR="00FC337D" w:rsidRPr="00FC337D" w:rsidRDefault="00FC337D" w:rsidP="00FC337D">
      <w:pPr>
        <w:rPr>
          <w:szCs w:val="24"/>
        </w:rPr>
      </w:pPr>
    </w:p>
    <w:p w:rsidR="00FC337D" w:rsidRPr="00FC337D" w:rsidRDefault="00FC337D" w:rsidP="00FC337D">
      <w:pPr>
        <w:pStyle w:val="Heading1"/>
        <w:keepNext w:val="0"/>
        <w:rPr>
          <w:sz w:val="24"/>
          <w:szCs w:val="24"/>
        </w:rPr>
      </w:pPr>
    </w:p>
    <w:p w:rsidR="008C2816" w:rsidRPr="00E97538" w:rsidRDefault="00FC337D" w:rsidP="00E97538">
      <w:pPr>
        <w:pStyle w:val="Heading3"/>
        <w:rPr>
          <w:color w:val="auto"/>
        </w:rPr>
      </w:pPr>
      <w:r w:rsidRPr="00E97538">
        <w:rPr>
          <w:color w:val="auto"/>
        </w:rPr>
        <w:t>V.  Policy recommendations</w:t>
      </w:r>
    </w:p>
    <w:p w:rsidR="008C2816" w:rsidRDefault="008C2816" w:rsidP="00E97538">
      <w:pPr>
        <w:pStyle w:val="Heading3"/>
      </w:pPr>
    </w:p>
    <w:p w:rsidR="00FC337D" w:rsidRPr="00FC337D" w:rsidRDefault="00FC337D" w:rsidP="00372A98">
      <w:pPr>
        <w:rPr>
          <w:szCs w:val="24"/>
        </w:rPr>
      </w:pPr>
      <w:r w:rsidRPr="00FC337D">
        <w:rPr>
          <w:szCs w:val="24"/>
        </w:rPr>
        <w:t xml:space="preserve">Several other Latin American countries are thinking of implementing similar programs (Nicaragua, Honduras, Colombia, Ecuador).  This is a good time to make suggestions to these governments.  Use your results and the conclusions of the IFPRI evaluation of PROGRESA to make policy recommendations for similar programs in similar context. </w:t>
      </w:r>
    </w:p>
    <w:p w:rsidR="00C60195" w:rsidRPr="00FC337D" w:rsidRDefault="00C60195">
      <w:pPr>
        <w:rPr>
          <w:szCs w:val="24"/>
        </w:rPr>
      </w:pPr>
    </w:p>
    <w:sectPr w:rsidR="00C60195" w:rsidRPr="00FC337D" w:rsidSect="00FC33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031" w:rsidRDefault="00A80031" w:rsidP="00FC337D">
      <w:r>
        <w:separator/>
      </w:r>
    </w:p>
  </w:endnote>
  <w:endnote w:type="continuationSeparator" w:id="0">
    <w:p w:rsidR="00A80031" w:rsidRDefault="00A80031" w:rsidP="00FC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031" w:rsidRDefault="00A80031" w:rsidP="00FC337D">
      <w:r>
        <w:separator/>
      </w:r>
    </w:p>
  </w:footnote>
  <w:footnote w:type="continuationSeparator" w:id="0">
    <w:p w:rsidR="00A80031" w:rsidRDefault="00A80031" w:rsidP="00FC3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629C"/>
    <w:multiLevelType w:val="hybridMultilevel"/>
    <w:tmpl w:val="F03A64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9E6E50"/>
    <w:multiLevelType w:val="hybridMultilevel"/>
    <w:tmpl w:val="893EA74A"/>
    <w:lvl w:ilvl="0" w:tplc="1AD0DE9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329A0C34"/>
    <w:multiLevelType w:val="hybridMultilevel"/>
    <w:tmpl w:val="E716D6DA"/>
    <w:lvl w:ilvl="0" w:tplc="1DDAB48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C337D"/>
    <w:rsid w:val="00004737"/>
    <w:rsid w:val="00005D03"/>
    <w:rsid w:val="00010A1E"/>
    <w:rsid w:val="0001439E"/>
    <w:rsid w:val="0001663E"/>
    <w:rsid w:val="00020A57"/>
    <w:rsid w:val="00021B23"/>
    <w:rsid w:val="0002319C"/>
    <w:rsid w:val="0003383B"/>
    <w:rsid w:val="000442D0"/>
    <w:rsid w:val="00050351"/>
    <w:rsid w:val="000540F2"/>
    <w:rsid w:val="00067B6B"/>
    <w:rsid w:val="00074454"/>
    <w:rsid w:val="0008042D"/>
    <w:rsid w:val="000813C1"/>
    <w:rsid w:val="00086C33"/>
    <w:rsid w:val="000C0EB3"/>
    <w:rsid w:val="000C1400"/>
    <w:rsid w:val="000C634B"/>
    <w:rsid w:val="000D6304"/>
    <w:rsid w:val="000D76EC"/>
    <w:rsid w:val="000E11F4"/>
    <w:rsid w:val="000F2FAD"/>
    <w:rsid w:val="000F7065"/>
    <w:rsid w:val="00100598"/>
    <w:rsid w:val="0010771E"/>
    <w:rsid w:val="00115A3A"/>
    <w:rsid w:val="00122A6D"/>
    <w:rsid w:val="00123466"/>
    <w:rsid w:val="00130EE4"/>
    <w:rsid w:val="0013596E"/>
    <w:rsid w:val="00136DBA"/>
    <w:rsid w:val="001374EB"/>
    <w:rsid w:val="00146771"/>
    <w:rsid w:val="001474FD"/>
    <w:rsid w:val="00156E53"/>
    <w:rsid w:val="001641FE"/>
    <w:rsid w:val="00165D94"/>
    <w:rsid w:val="00171650"/>
    <w:rsid w:val="00171682"/>
    <w:rsid w:val="00173DBC"/>
    <w:rsid w:val="00177FDC"/>
    <w:rsid w:val="00181A5F"/>
    <w:rsid w:val="001B2D1C"/>
    <w:rsid w:val="001B350A"/>
    <w:rsid w:val="001B7DFF"/>
    <w:rsid w:val="001C44D8"/>
    <w:rsid w:val="001C789E"/>
    <w:rsid w:val="001D78C2"/>
    <w:rsid w:val="001F093A"/>
    <w:rsid w:val="0020181B"/>
    <w:rsid w:val="002026BD"/>
    <w:rsid w:val="002077D0"/>
    <w:rsid w:val="002114E9"/>
    <w:rsid w:val="002136E3"/>
    <w:rsid w:val="00226950"/>
    <w:rsid w:val="00235C56"/>
    <w:rsid w:val="00243FC9"/>
    <w:rsid w:val="00244330"/>
    <w:rsid w:val="00244467"/>
    <w:rsid w:val="00247047"/>
    <w:rsid w:val="00252472"/>
    <w:rsid w:val="00257B43"/>
    <w:rsid w:val="00261D15"/>
    <w:rsid w:val="00264813"/>
    <w:rsid w:val="00266BA8"/>
    <w:rsid w:val="00271230"/>
    <w:rsid w:val="002811B3"/>
    <w:rsid w:val="002816AA"/>
    <w:rsid w:val="002873E2"/>
    <w:rsid w:val="00292741"/>
    <w:rsid w:val="00293E48"/>
    <w:rsid w:val="00297681"/>
    <w:rsid w:val="002A50A3"/>
    <w:rsid w:val="002B1B18"/>
    <w:rsid w:val="002B2625"/>
    <w:rsid w:val="002D759B"/>
    <w:rsid w:val="002F58E5"/>
    <w:rsid w:val="00301F0D"/>
    <w:rsid w:val="00312497"/>
    <w:rsid w:val="00313CD3"/>
    <w:rsid w:val="00316AF2"/>
    <w:rsid w:val="00320F38"/>
    <w:rsid w:val="00327F1D"/>
    <w:rsid w:val="003346C4"/>
    <w:rsid w:val="00336EBD"/>
    <w:rsid w:val="003501A9"/>
    <w:rsid w:val="00372A98"/>
    <w:rsid w:val="0039079D"/>
    <w:rsid w:val="003956FC"/>
    <w:rsid w:val="00396074"/>
    <w:rsid w:val="0039749A"/>
    <w:rsid w:val="003A3898"/>
    <w:rsid w:val="003A6285"/>
    <w:rsid w:val="003A7EAB"/>
    <w:rsid w:val="003C11CA"/>
    <w:rsid w:val="003C16A2"/>
    <w:rsid w:val="003C2A6F"/>
    <w:rsid w:val="003C6E66"/>
    <w:rsid w:val="003D127A"/>
    <w:rsid w:val="003D68C4"/>
    <w:rsid w:val="003F4C01"/>
    <w:rsid w:val="00403155"/>
    <w:rsid w:val="00404FE7"/>
    <w:rsid w:val="00412F4F"/>
    <w:rsid w:val="0041769E"/>
    <w:rsid w:val="004313D9"/>
    <w:rsid w:val="00432038"/>
    <w:rsid w:val="0045500B"/>
    <w:rsid w:val="004634B5"/>
    <w:rsid w:val="00477BB0"/>
    <w:rsid w:val="00480478"/>
    <w:rsid w:val="004A455D"/>
    <w:rsid w:val="004A7EBE"/>
    <w:rsid w:val="004B22E2"/>
    <w:rsid w:val="004B5883"/>
    <w:rsid w:val="004B5A4A"/>
    <w:rsid w:val="004B7D20"/>
    <w:rsid w:val="004C242C"/>
    <w:rsid w:val="004C39CD"/>
    <w:rsid w:val="004C5FC3"/>
    <w:rsid w:val="004D0308"/>
    <w:rsid w:val="004D29C7"/>
    <w:rsid w:val="004D3EF5"/>
    <w:rsid w:val="004D7FF5"/>
    <w:rsid w:val="004F1DA8"/>
    <w:rsid w:val="005100B0"/>
    <w:rsid w:val="005122C3"/>
    <w:rsid w:val="00512524"/>
    <w:rsid w:val="00514540"/>
    <w:rsid w:val="00521625"/>
    <w:rsid w:val="005368FD"/>
    <w:rsid w:val="005435B2"/>
    <w:rsid w:val="00543FF6"/>
    <w:rsid w:val="00556F9C"/>
    <w:rsid w:val="00565210"/>
    <w:rsid w:val="00572470"/>
    <w:rsid w:val="005935FC"/>
    <w:rsid w:val="005A0160"/>
    <w:rsid w:val="005A1462"/>
    <w:rsid w:val="005A278F"/>
    <w:rsid w:val="005B040B"/>
    <w:rsid w:val="005B327F"/>
    <w:rsid w:val="005B589A"/>
    <w:rsid w:val="005B6BB3"/>
    <w:rsid w:val="005C3C48"/>
    <w:rsid w:val="005D6C1C"/>
    <w:rsid w:val="005D75CA"/>
    <w:rsid w:val="005E4F7D"/>
    <w:rsid w:val="005E5AD7"/>
    <w:rsid w:val="005F6873"/>
    <w:rsid w:val="005F6958"/>
    <w:rsid w:val="005F79E4"/>
    <w:rsid w:val="00600F70"/>
    <w:rsid w:val="00603A2F"/>
    <w:rsid w:val="00605520"/>
    <w:rsid w:val="00613F14"/>
    <w:rsid w:val="00615EBF"/>
    <w:rsid w:val="00620314"/>
    <w:rsid w:val="006204D7"/>
    <w:rsid w:val="00621EC5"/>
    <w:rsid w:val="006253AB"/>
    <w:rsid w:val="00631810"/>
    <w:rsid w:val="00631EA7"/>
    <w:rsid w:val="00633823"/>
    <w:rsid w:val="006444B7"/>
    <w:rsid w:val="0064550F"/>
    <w:rsid w:val="00656BA4"/>
    <w:rsid w:val="006571AF"/>
    <w:rsid w:val="0067100A"/>
    <w:rsid w:val="006737F8"/>
    <w:rsid w:val="006773DE"/>
    <w:rsid w:val="00681030"/>
    <w:rsid w:val="00682B18"/>
    <w:rsid w:val="00683D72"/>
    <w:rsid w:val="0069229B"/>
    <w:rsid w:val="006A6417"/>
    <w:rsid w:val="006B0ED0"/>
    <w:rsid w:val="006C100E"/>
    <w:rsid w:val="006C14C8"/>
    <w:rsid w:val="006C79F2"/>
    <w:rsid w:val="006D293B"/>
    <w:rsid w:val="006D5BFB"/>
    <w:rsid w:val="006E17C4"/>
    <w:rsid w:val="006E1AD0"/>
    <w:rsid w:val="006E329F"/>
    <w:rsid w:val="00703E4C"/>
    <w:rsid w:val="007050D5"/>
    <w:rsid w:val="00711329"/>
    <w:rsid w:val="00711A38"/>
    <w:rsid w:val="007169DF"/>
    <w:rsid w:val="00746A4F"/>
    <w:rsid w:val="00750815"/>
    <w:rsid w:val="00751CDD"/>
    <w:rsid w:val="00766D39"/>
    <w:rsid w:val="007724E5"/>
    <w:rsid w:val="00777706"/>
    <w:rsid w:val="00780859"/>
    <w:rsid w:val="0079112B"/>
    <w:rsid w:val="007938ED"/>
    <w:rsid w:val="007A2D75"/>
    <w:rsid w:val="007A4B8A"/>
    <w:rsid w:val="007A67EF"/>
    <w:rsid w:val="007C34DF"/>
    <w:rsid w:val="007C744E"/>
    <w:rsid w:val="007D41B8"/>
    <w:rsid w:val="007D7B08"/>
    <w:rsid w:val="007E2E06"/>
    <w:rsid w:val="007E4232"/>
    <w:rsid w:val="007E580C"/>
    <w:rsid w:val="007E5ECE"/>
    <w:rsid w:val="007E734E"/>
    <w:rsid w:val="007F37F9"/>
    <w:rsid w:val="008026D9"/>
    <w:rsid w:val="0080615B"/>
    <w:rsid w:val="00811D59"/>
    <w:rsid w:val="00822651"/>
    <w:rsid w:val="0084226C"/>
    <w:rsid w:val="00846636"/>
    <w:rsid w:val="0084788C"/>
    <w:rsid w:val="0086346D"/>
    <w:rsid w:val="00866AD7"/>
    <w:rsid w:val="00867DF0"/>
    <w:rsid w:val="00880C1B"/>
    <w:rsid w:val="00881600"/>
    <w:rsid w:val="008820A5"/>
    <w:rsid w:val="00883709"/>
    <w:rsid w:val="00886211"/>
    <w:rsid w:val="00890136"/>
    <w:rsid w:val="00894702"/>
    <w:rsid w:val="008A09B9"/>
    <w:rsid w:val="008B6BDF"/>
    <w:rsid w:val="008C1C74"/>
    <w:rsid w:val="008C2816"/>
    <w:rsid w:val="008C6CEE"/>
    <w:rsid w:val="008D10D3"/>
    <w:rsid w:val="008D57D6"/>
    <w:rsid w:val="008D7639"/>
    <w:rsid w:val="008F219C"/>
    <w:rsid w:val="008F46A1"/>
    <w:rsid w:val="00903987"/>
    <w:rsid w:val="00904414"/>
    <w:rsid w:val="00907374"/>
    <w:rsid w:val="009156BA"/>
    <w:rsid w:val="009227D1"/>
    <w:rsid w:val="009272E0"/>
    <w:rsid w:val="00940D32"/>
    <w:rsid w:val="00957BF9"/>
    <w:rsid w:val="00972755"/>
    <w:rsid w:val="0098571D"/>
    <w:rsid w:val="00985D55"/>
    <w:rsid w:val="009A157D"/>
    <w:rsid w:val="009A6FE1"/>
    <w:rsid w:val="009A7F47"/>
    <w:rsid w:val="009C0B9C"/>
    <w:rsid w:val="009C533E"/>
    <w:rsid w:val="009C6DD7"/>
    <w:rsid w:val="009D6E93"/>
    <w:rsid w:val="009E26AC"/>
    <w:rsid w:val="009E407D"/>
    <w:rsid w:val="009E7964"/>
    <w:rsid w:val="009F0587"/>
    <w:rsid w:val="009F05F9"/>
    <w:rsid w:val="009F0CE6"/>
    <w:rsid w:val="009F1473"/>
    <w:rsid w:val="009F3002"/>
    <w:rsid w:val="00A04BEC"/>
    <w:rsid w:val="00A15F30"/>
    <w:rsid w:val="00A164FE"/>
    <w:rsid w:val="00A17690"/>
    <w:rsid w:val="00A205E5"/>
    <w:rsid w:val="00A243CF"/>
    <w:rsid w:val="00A24FE8"/>
    <w:rsid w:val="00A52415"/>
    <w:rsid w:val="00A54587"/>
    <w:rsid w:val="00A60C63"/>
    <w:rsid w:val="00A635D7"/>
    <w:rsid w:val="00A63EA3"/>
    <w:rsid w:val="00A65D1A"/>
    <w:rsid w:val="00A7493B"/>
    <w:rsid w:val="00A80031"/>
    <w:rsid w:val="00A85DFD"/>
    <w:rsid w:val="00A8731E"/>
    <w:rsid w:val="00A94CE9"/>
    <w:rsid w:val="00A95E41"/>
    <w:rsid w:val="00AE1AF1"/>
    <w:rsid w:val="00AE4E3C"/>
    <w:rsid w:val="00AF590B"/>
    <w:rsid w:val="00B1245B"/>
    <w:rsid w:val="00B16588"/>
    <w:rsid w:val="00B334E4"/>
    <w:rsid w:val="00B413C2"/>
    <w:rsid w:val="00B44E89"/>
    <w:rsid w:val="00B5061A"/>
    <w:rsid w:val="00B62C5A"/>
    <w:rsid w:val="00B71FD0"/>
    <w:rsid w:val="00B722DF"/>
    <w:rsid w:val="00B853D4"/>
    <w:rsid w:val="00B9076C"/>
    <w:rsid w:val="00B947EA"/>
    <w:rsid w:val="00BA12D4"/>
    <w:rsid w:val="00BA524E"/>
    <w:rsid w:val="00BA67CC"/>
    <w:rsid w:val="00BC03DC"/>
    <w:rsid w:val="00BC49C0"/>
    <w:rsid w:val="00BF032F"/>
    <w:rsid w:val="00C043ED"/>
    <w:rsid w:val="00C12892"/>
    <w:rsid w:val="00C1589D"/>
    <w:rsid w:val="00C16922"/>
    <w:rsid w:val="00C2073B"/>
    <w:rsid w:val="00C22A49"/>
    <w:rsid w:val="00C22AB7"/>
    <w:rsid w:val="00C26700"/>
    <w:rsid w:val="00C27BB7"/>
    <w:rsid w:val="00C31A0F"/>
    <w:rsid w:val="00C3227D"/>
    <w:rsid w:val="00C370D6"/>
    <w:rsid w:val="00C37375"/>
    <w:rsid w:val="00C4143C"/>
    <w:rsid w:val="00C60195"/>
    <w:rsid w:val="00C629E8"/>
    <w:rsid w:val="00C67907"/>
    <w:rsid w:val="00C766CA"/>
    <w:rsid w:val="00C82A20"/>
    <w:rsid w:val="00C87324"/>
    <w:rsid w:val="00C92334"/>
    <w:rsid w:val="00CA7088"/>
    <w:rsid w:val="00CB274E"/>
    <w:rsid w:val="00CB28FF"/>
    <w:rsid w:val="00CB7753"/>
    <w:rsid w:val="00CC11C6"/>
    <w:rsid w:val="00CC2351"/>
    <w:rsid w:val="00CD3FCA"/>
    <w:rsid w:val="00CE0095"/>
    <w:rsid w:val="00CF7BB8"/>
    <w:rsid w:val="00D034F8"/>
    <w:rsid w:val="00D0591F"/>
    <w:rsid w:val="00D210F4"/>
    <w:rsid w:val="00D222D8"/>
    <w:rsid w:val="00D22FB6"/>
    <w:rsid w:val="00D22FEF"/>
    <w:rsid w:val="00D31142"/>
    <w:rsid w:val="00D339DA"/>
    <w:rsid w:val="00D46982"/>
    <w:rsid w:val="00D532F0"/>
    <w:rsid w:val="00D67BF3"/>
    <w:rsid w:val="00D70424"/>
    <w:rsid w:val="00D7428F"/>
    <w:rsid w:val="00D76415"/>
    <w:rsid w:val="00D811DB"/>
    <w:rsid w:val="00D8764A"/>
    <w:rsid w:val="00D9041D"/>
    <w:rsid w:val="00D923E4"/>
    <w:rsid w:val="00D937B7"/>
    <w:rsid w:val="00DA019D"/>
    <w:rsid w:val="00DA0659"/>
    <w:rsid w:val="00DA6293"/>
    <w:rsid w:val="00DB054D"/>
    <w:rsid w:val="00DB3CB9"/>
    <w:rsid w:val="00DB4DBD"/>
    <w:rsid w:val="00DC7963"/>
    <w:rsid w:val="00DE19A1"/>
    <w:rsid w:val="00DE6057"/>
    <w:rsid w:val="00DF099E"/>
    <w:rsid w:val="00DF2AC9"/>
    <w:rsid w:val="00E02BF6"/>
    <w:rsid w:val="00E03EFA"/>
    <w:rsid w:val="00E15798"/>
    <w:rsid w:val="00E17906"/>
    <w:rsid w:val="00E30486"/>
    <w:rsid w:val="00E32FDB"/>
    <w:rsid w:val="00E42303"/>
    <w:rsid w:val="00E4723B"/>
    <w:rsid w:val="00E51157"/>
    <w:rsid w:val="00E6689D"/>
    <w:rsid w:val="00E73231"/>
    <w:rsid w:val="00E80FF2"/>
    <w:rsid w:val="00E817DC"/>
    <w:rsid w:val="00E87FEF"/>
    <w:rsid w:val="00E94909"/>
    <w:rsid w:val="00E96A9D"/>
    <w:rsid w:val="00E97538"/>
    <w:rsid w:val="00EA41BB"/>
    <w:rsid w:val="00EA68FF"/>
    <w:rsid w:val="00EB1D1C"/>
    <w:rsid w:val="00EB26E0"/>
    <w:rsid w:val="00EB3FD7"/>
    <w:rsid w:val="00EC5C91"/>
    <w:rsid w:val="00EC7784"/>
    <w:rsid w:val="00ED10C4"/>
    <w:rsid w:val="00ED7B40"/>
    <w:rsid w:val="00EF36CB"/>
    <w:rsid w:val="00F110BD"/>
    <w:rsid w:val="00F11888"/>
    <w:rsid w:val="00F122A8"/>
    <w:rsid w:val="00F1416C"/>
    <w:rsid w:val="00F15755"/>
    <w:rsid w:val="00F316F4"/>
    <w:rsid w:val="00F3572A"/>
    <w:rsid w:val="00F407C2"/>
    <w:rsid w:val="00F41F8E"/>
    <w:rsid w:val="00F6110C"/>
    <w:rsid w:val="00F61A59"/>
    <w:rsid w:val="00F62E25"/>
    <w:rsid w:val="00F63030"/>
    <w:rsid w:val="00F63114"/>
    <w:rsid w:val="00F842A3"/>
    <w:rsid w:val="00F97598"/>
    <w:rsid w:val="00FA37B9"/>
    <w:rsid w:val="00FA50AE"/>
    <w:rsid w:val="00FB167F"/>
    <w:rsid w:val="00FC1FBB"/>
    <w:rsid w:val="00FC337D"/>
    <w:rsid w:val="00FC4BA6"/>
    <w:rsid w:val="00FD695D"/>
    <w:rsid w:val="00FD6C5B"/>
    <w:rsid w:val="00FD78B3"/>
    <w:rsid w:val="00FE368F"/>
    <w:rsid w:val="00FE7894"/>
    <w:rsid w:val="00FF0234"/>
    <w:rsid w:val="00FF1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DF72150-C5E6-496F-83F0-73DE2E66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3A3898"/>
    <w:pPr>
      <w:spacing w:after="0" w:line="240" w:lineRule="auto"/>
    </w:pPr>
    <w:rPr>
      <w:rFonts w:ascii="Times New Roman" w:eastAsiaTheme="minorEastAsia" w:hAnsi="Times New Roman"/>
      <w:sz w:val="24"/>
      <w:lang w:bidi="en-US"/>
    </w:rPr>
  </w:style>
  <w:style w:type="paragraph" w:styleId="Heading1">
    <w:name w:val="heading 1"/>
    <w:basedOn w:val="Normal"/>
    <w:next w:val="Normal"/>
    <w:link w:val="Heading1Char"/>
    <w:qFormat/>
    <w:rsid w:val="00FC337D"/>
    <w:pPr>
      <w:keepNext/>
      <w:jc w:val="both"/>
      <w:outlineLvl w:val="0"/>
    </w:pPr>
    <w:rPr>
      <w:rFonts w:ascii="Times" w:eastAsia="Times New Roman" w:hAnsi="Times" w:cs="Times New Roman"/>
      <w:b/>
      <w:sz w:val="20"/>
      <w:szCs w:val="20"/>
      <w:lang w:bidi="ar-SA"/>
    </w:rPr>
  </w:style>
  <w:style w:type="paragraph" w:styleId="Heading2">
    <w:name w:val="heading 2"/>
    <w:basedOn w:val="Normal"/>
    <w:next w:val="Normal"/>
    <w:link w:val="Heading2Char"/>
    <w:uiPriority w:val="9"/>
    <w:unhideWhenUsed/>
    <w:qFormat/>
    <w:rsid w:val="00A205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05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898"/>
    <w:pPr>
      <w:spacing w:after="0" w:line="240" w:lineRule="auto"/>
    </w:pPr>
    <w:rPr>
      <w:rFonts w:ascii="Times New Roman" w:hAnsi="Times New Roman"/>
      <w:sz w:val="24"/>
    </w:rPr>
  </w:style>
  <w:style w:type="character" w:customStyle="1" w:styleId="Heading1Char">
    <w:name w:val="Heading 1 Char"/>
    <w:basedOn w:val="DefaultParagraphFont"/>
    <w:link w:val="Heading1"/>
    <w:rsid w:val="00FC337D"/>
    <w:rPr>
      <w:rFonts w:ascii="Times" w:eastAsia="Times New Roman" w:hAnsi="Times" w:cs="Times New Roman"/>
      <w:b/>
      <w:sz w:val="20"/>
      <w:szCs w:val="20"/>
    </w:rPr>
  </w:style>
  <w:style w:type="paragraph" w:styleId="Footer">
    <w:name w:val="footer"/>
    <w:basedOn w:val="Normal"/>
    <w:link w:val="FooterChar"/>
    <w:rsid w:val="00FC337D"/>
    <w:pPr>
      <w:tabs>
        <w:tab w:val="center" w:pos="4320"/>
        <w:tab w:val="right" w:pos="8640"/>
      </w:tabs>
      <w:jc w:val="both"/>
    </w:pPr>
    <w:rPr>
      <w:rFonts w:ascii="Times" w:eastAsia="Times New Roman" w:hAnsi="Times" w:cs="Times New Roman"/>
      <w:sz w:val="20"/>
      <w:szCs w:val="20"/>
      <w:lang w:bidi="ar-SA"/>
    </w:rPr>
  </w:style>
  <w:style w:type="character" w:customStyle="1" w:styleId="FooterChar">
    <w:name w:val="Footer Char"/>
    <w:basedOn w:val="DefaultParagraphFont"/>
    <w:link w:val="Footer"/>
    <w:rsid w:val="00FC337D"/>
    <w:rPr>
      <w:rFonts w:ascii="Times" w:eastAsia="Times New Roman" w:hAnsi="Times" w:cs="Times New Roman"/>
      <w:sz w:val="20"/>
      <w:szCs w:val="20"/>
    </w:rPr>
  </w:style>
  <w:style w:type="paragraph" w:customStyle="1" w:styleId="Style1">
    <w:name w:val="Style1"/>
    <w:basedOn w:val="Normal"/>
    <w:rsid w:val="00FC337D"/>
    <w:pPr>
      <w:jc w:val="both"/>
    </w:pPr>
    <w:rPr>
      <w:rFonts w:ascii="Times" w:eastAsia="Times New Roman" w:hAnsi="Times" w:cs="Times New Roman"/>
      <w:sz w:val="20"/>
      <w:szCs w:val="20"/>
      <w:lang w:bidi="ar-SA"/>
    </w:rPr>
  </w:style>
  <w:style w:type="character" w:styleId="Hyperlink">
    <w:name w:val="Hyperlink"/>
    <w:rsid w:val="00FC337D"/>
    <w:rPr>
      <w:color w:val="0000FF"/>
      <w:u w:val="single"/>
    </w:rPr>
  </w:style>
  <w:style w:type="paragraph" w:styleId="Header">
    <w:name w:val="header"/>
    <w:basedOn w:val="Normal"/>
    <w:link w:val="HeaderChar"/>
    <w:uiPriority w:val="99"/>
    <w:semiHidden/>
    <w:unhideWhenUsed/>
    <w:rsid w:val="00FC337D"/>
    <w:pPr>
      <w:tabs>
        <w:tab w:val="center" w:pos="4680"/>
        <w:tab w:val="right" w:pos="9360"/>
      </w:tabs>
    </w:pPr>
  </w:style>
  <w:style w:type="character" w:customStyle="1" w:styleId="HeaderChar">
    <w:name w:val="Header Char"/>
    <w:basedOn w:val="DefaultParagraphFont"/>
    <w:link w:val="Header"/>
    <w:uiPriority w:val="99"/>
    <w:semiHidden/>
    <w:rsid w:val="00FC337D"/>
    <w:rPr>
      <w:rFonts w:ascii="Times New Roman" w:eastAsiaTheme="minorEastAsia" w:hAnsi="Times New Roman"/>
      <w:sz w:val="24"/>
      <w:lang w:bidi="en-US"/>
    </w:rPr>
  </w:style>
  <w:style w:type="paragraph" w:styleId="ListParagraph">
    <w:name w:val="List Paragraph"/>
    <w:basedOn w:val="Normal"/>
    <w:uiPriority w:val="34"/>
    <w:qFormat/>
    <w:rsid w:val="00FC337D"/>
    <w:pPr>
      <w:ind w:left="720"/>
      <w:contextualSpacing/>
    </w:pPr>
  </w:style>
  <w:style w:type="character" w:styleId="PlaceholderText">
    <w:name w:val="Placeholder Text"/>
    <w:basedOn w:val="DefaultParagraphFont"/>
    <w:uiPriority w:val="99"/>
    <w:semiHidden/>
    <w:rsid w:val="00B62C5A"/>
    <w:rPr>
      <w:color w:val="808080"/>
    </w:rPr>
  </w:style>
  <w:style w:type="paragraph" w:styleId="BalloonText">
    <w:name w:val="Balloon Text"/>
    <w:basedOn w:val="Normal"/>
    <w:link w:val="BalloonTextChar"/>
    <w:uiPriority w:val="99"/>
    <w:semiHidden/>
    <w:unhideWhenUsed/>
    <w:rsid w:val="00B62C5A"/>
    <w:rPr>
      <w:rFonts w:ascii="Tahoma" w:hAnsi="Tahoma" w:cs="Tahoma"/>
      <w:sz w:val="16"/>
      <w:szCs w:val="16"/>
    </w:rPr>
  </w:style>
  <w:style w:type="character" w:customStyle="1" w:styleId="BalloonTextChar">
    <w:name w:val="Balloon Text Char"/>
    <w:basedOn w:val="DefaultParagraphFont"/>
    <w:link w:val="BalloonText"/>
    <w:uiPriority w:val="99"/>
    <w:semiHidden/>
    <w:rsid w:val="00B62C5A"/>
    <w:rPr>
      <w:rFonts w:ascii="Tahoma" w:eastAsiaTheme="minorEastAsia" w:hAnsi="Tahoma" w:cs="Tahoma"/>
      <w:sz w:val="16"/>
      <w:szCs w:val="16"/>
      <w:lang w:bidi="en-US"/>
    </w:rPr>
  </w:style>
  <w:style w:type="character" w:customStyle="1" w:styleId="Heading2Char">
    <w:name w:val="Heading 2 Char"/>
    <w:basedOn w:val="DefaultParagraphFont"/>
    <w:link w:val="Heading2"/>
    <w:uiPriority w:val="9"/>
    <w:rsid w:val="00A205E5"/>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rsid w:val="00A205E5"/>
    <w:rPr>
      <w:rFonts w:asciiTheme="majorHAnsi" w:eastAsiaTheme="majorEastAsia" w:hAnsiTheme="majorHAnsi" w:cstheme="majorBidi"/>
      <w:b/>
      <w:bCs/>
      <w:color w:val="4F81BD" w:themeColor="accent1"/>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fpri.org/search/publications?page=3&amp;keys=Progres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482C2-FF2A-4FCD-967C-F31FDE81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Dustan</dc:creator>
  <cp:lastModifiedBy>Cracknell, Kelly</cp:lastModifiedBy>
  <cp:revision>15</cp:revision>
  <dcterms:created xsi:type="dcterms:W3CDTF">2013-03-01T07:50:00Z</dcterms:created>
  <dcterms:modified xsi:type="dcterms:W3CDTF">2015-12-15T14:41:00Z</dcterms:modified>
</cp:coreProperties>
</file>