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B5BF7" w14:textId="77777777" w:rsidR="00B63E76" w:rsidRDefault="00B63E76" w:rsidP="00B63E76">
      <w:pPr>
        <w:pStyle w:val="TableCaption"/>
        <w:spacing w:before="0" w:after="0" w:line="360" w:lineRule="auto"/>
        <w:jc w:val="left"/>
      </w:pPr>
      <w:r>
        <w:t>Table 3.1.1</w:t>
      </w:r>
      <w:r>
        <w:tab/>
      </w:r>
      <w:r>
        <w:tab/>
        <w:t>Characteristic features of effective explanations</w:t>
      </w:r>
    </w:p>
    <w:tbl>
      <w:tblPr>
        <w:tblW w:w="0" w:type="auto"/>
        <w:tblBorders>
          <w:top w:val="single" w:sz="6" w:space="0" w:color="auto"/>
          <w:bottom w:val="single" w:sz="6" w:space="0" w:color="auto"/>
        </w:tblBorders>
        <w:tblCellMar>
          <w:top w:w="100" w:type="dxa"/>
          <w:left w:w="100" w:type="dxa"/>
          <w:bottom w:w="100" w:type="dxa"/>
          <w:right w:w="100" w:type="dxa"/>
        </w:tblCellMar>
        <w:tblLook w:val="04A0" w:firstRow="1" w:lastRow="0" w:firstColumn="1" w:lastColumn="0" w:noHBand="0" w:noVBand="1"/>
      </w:tblPr>
      <w:tblGrid>
        <w:gridCol w:w="4466"/>
        <w:gridCol w:w="4560"/>
      </w:tblGrid>
      <w:tr w:rsidR="00B63E76" w14:paraId="6DD30343" w14:textId="77777777" w:rsidTr="004B7A94">
        <w:trPr>
          <w:tblHeader/>
        </w:trPr>
        <w:tc>
          <w:tcPr>
            <w:tcW w:w="5040" w:type="dxa"/>
            <w:tcBorders>
              <w:top w:val="single" w:sz="6" w:space="0" w:color="auto"/>
              <w:bottom w:val="nil"/>
              <w:right w:val="nil"/>
            </w:tcBorders>
          </w:tcPr>
          <w:p w14:paraId="3A8403F3" w14:textId="77777777" w:rsidR="00B63E76" w:rsidRDefault="00B63E76" w:rsidP="004B7A94">
            <w:pPr>
              <w:pStyle w:val="BodyText"/>
              <w:spacing w:line="360" w:lineRule="auto"/>
              <w:jc w:val="left"/>
            </w:pPr>
            <w:bookmarkStart w:id="0" w:name="ID75"/>
            <w:bookmarkEnd w:id="0"/>
            <w:r>
              <w:t>Characteristic feature</w:t>
            </w:r>
          </w:p>
        </w:tc>
        <w:tc>
          <w:tcPr>
            <w:tcW w:w="5040" w:type="dxa"/>
            <w:tcBorders>
              <w:top w:val="single" w:sz="6" w:space="0" w:color="auto"/>
              <w:bottom w:val="nil"/>
              <w:right w:val="nil"/>
            </w:tcBorders>
          </w:tcPr>
          <w:p w14:paraId="7598466F" w14:textId="77777777" w:rsidR="00B63E76" w:rsidRDefault="00B63E76" w:rsidP="004B7A94">
            <w:pPr>
              <w:pStyle w:val="BodyText"/>
              <w:spacing w:line="360" w:lineRule="auto"/>
              <w:jc w:val="left"/>
            </w:pPr>
            <w:bookmarkStart w:id="1" w:name="ID76"/>
            <w:bookmarkEnd w:id="1"/>
            <w:r>
              <w:t>Sample question to ask yourself</w:t>
            </w:r>
          </w:p>
        </w:tc>
      </w:tr>
      <w:tr w:rsidR="00B63E76" w14:paraId="684745FF" w14:textId="77777777" w:rsidTr="004B7A94">
        <w:tc>
          <w:tcPr>
            <w:tcW w:w="5040" w:type="dxa"/>
            <w:tcBorders>
              <w:top w:val="single" w:sz="6" w:space="0" w:color="auto"/>
              <w:bottom w:val="nil"/>
              <w:right w:val="nil"/>
            </w:tcBorders>
          </w:tcPr>
          <w:p w14:paraId="533113C1" w14:textId="77777777" w:rsidR="00B63E76" w:rsidRDefault="00B63E76" w:rsidP="004B7A94">
            <w:pPr>
              <w:pStyle w:val="BodyText"/>
              <w:spacing w:line="360" w:lineRule="auto"/>
              <w:jc w:val="left"/>
            </w:pPr>
            <w:bookmarkStart w:id="2" w:name="ID77"/>
            <w:bookmarkEnd w:id="2"/>
            <w:r>
              <w:t>Clear structure</w:t>
            </w:r>
          </w:p>
        </w:tc>
        <w:tc>
          <w:tcPr>
            <w:tcW w:w="5040" w:type="dxa"/>
            <w:tcBorders>
              <w:top w:val="single" w:sz="6" w:space="0" w:color="auto"/>
              <w:bottom w:val="nil"/>
              <w:right w:val="nil"/>
            </w:tcBorders>
          </w:tcPr>
          <w:p w14:paraId="1CCFBB0B" w14:textId="77777777" w:rsidR="00B63E76" w:rsidRDefault="00B63E76" w:rsidP="004B7A94">
            <w:pPr>
              <w:pStyle w:val="BodyText"/>
              <w:spacing w:line="360" w:lineRule="auto"/>
              <w:jc w:val="left"/>
            </w:pPr>
            <w:bookmarkStart w:id="3" w:name="ID78"/>
            <w:bookmarkEnd w:id="3"/>
            <w:r>
              <w:t>Is the explanation structured in a logical way showing how each part links together?</w:t>
            </w:r>
          </w:p>
        </w:tc>
      </w:tr>
      <w:tr w:rsidR="00B63E76" w14:paraId="0B14D747" w14:textId="77777777" w:rsidTr="004B7A94">
        <w:tc>
          <w:tcPr>
            <w:tcW w:w="5040" w:type="dxa"/>
            <w:tcBorders>
              <w:bottom w:val="nil"/>
              <w:right w:val="nil"/>
            </w:tcBorders>
          </w:tcPr>
          <w:p w14:paraId="11553FE6" w14:textId="77777777" w:rsidR="00B63E76" w:rsidRDefault="00B63E76" w:rsidP="004B7A94">
            <w:pPr>
              <w:pStyle w:val="BodyText"/>
              <w:spacing w:line="360" w:lineRule="auto"/>
              <w:jc w:val="left"/>
            </w:pPr>
            <w:bookmarkStart w:id="4" w:name="ID79"/>
            <w:bookmarkEnd w:id="4"/>
            <w:r>
              <w:t>Key features identified</w:t>
            </w:r>
          </w:p>
        </w:tc>
        <w:tc>
          <w:tcPr>
            <w:tcW w:w="5040" w:type="dxa"/>
            <w:tcBorders>
              <w:bottom w:val="nil"/>
              <w:right w:val="nil"/>
            </w:tcBorders>
          </w:tcPr>
          <w:p w14:paraId="0E81227D" w14:textId="77777777" w:rsidR="00B63E76" w:rsidRDefault="00B63E76" w:rsidP="004B7A94">
            <w:pPr>
              <w:pStyle w:val="BodyText"/>
              <w:spacing w:line="360" w:lineRule="auto"/>
              <w:jc w:val="left"/>
            </w:pPr>
            <w:bookmarkStart w:id="5" w:name="ID80"/>
            <w:bookmarkEnd w:id="5"/>
            <w:r>
              <w:t>What are the key points or essential elements pupils should understand?</w:t>
            </w:r>
          </w:p>
        </w:tc>
      </w:tr>
      <w:tr w:rsidR="00B63E76" w14:paraId="7ADBA6F6" w14:textId="77777777" w:rsidTr="004B7A94">
        <w:tc>
          <w:tcPr>
            <w:tcW w:w="5040" w:type="dxa"/>
            <w:tcBorders>
              <w:bottom w:val="nil"/>
              <w:right w:val="nil"/>
            </w:tcBorders>
          </w:tcPr>
          <w:p w14:paraId="3993654F" w14:textId="77777777" w:rsidR="00B63E76" w:rsidRDefault="00B63E76" w:rsidP="004B7A94">
            <w:pPr>
              <w:pStyle w:val="BodyText"/>
              <w:spacing w:line="360" w:lineRule="auto"/>
              <w:jc w:val="left"/>
            </w:pPr>
            <w:bookmarkStart w:id="6" w:name="ID81"/>
            <w:bookmarkEnd w:id="6"/>
            <w:r>
              <w:t>Dynamic opening</w:t>
            </w:r>
          </w:p>
        </w:tc>
        <w:tc>
          <w:tcPr>
            <w:tcW w:w="5040" w:type="dxa"/>
            <w:tcBorders>
              <w:bottom w:val="nil"/>
              <w:right w:val="nil"/>
            </w:tcBorders>
          </w:tcPr>
          <w:p w14:paraId="66A2491C" w14:textId="77777777" w:rsidR="00B63E76" w:rsidRDefault="00B63E76" w:rsidP="004B7A94">
            <w:pPr>
              <w:pStyle w:val="BodyText"/>
              <w:spacing w:line="360" w:lineRule="auto"/>
              <w:jc w:val="left"/>
            </w:pPr>
            <w:bookmarkStart w:id="7" w:name="ID82"/>
            <w:bookmarkEnd w:id="7"/>
            <w:r>
              <w:t>What is the ‘tease’ or ‘hook’ used at the start?</w:t>
            </w:r>
          </w:p>
        </w:tc>
      </w:tr>
      <w:tr w:rsidR="00B63E76" w14:paraId="359513F1" w14:textId="77777777" w:rsidTr="004B7A94">
        <w:tc>
          <w:tcPr>
            <w:tcW w:w="5040" w:type="dxa"/>
            <w:tcBorders>
              <w:bottom w:val="nil"/>
              <w:right w:val="nil"/>
            </w:tcBorders>
          </w:tcPr>
          <w:p w14:paraId="57A12BDE" w14:textId="77777777" w:rsidR="00B63E76" w:rsidRDefault="00B63E76" w:rsidP="004B7A94">
            <w:pPr>
              <w:pStyle w:val="BodyText"/>
              <w:spacing w:line="360" w:lineRule="auto"/>
              <w:jc w:val="left"/>
            </w:pPr>
            <w:bookmarkStart w:id="8" w:name="ID83"/>
            <w:bookmarkEnd w:id="8"/>
            <w:r>
              <w:t>Clarity – using voice and body</w:t>
            </w:r>
          </w:p>
        </w:tc>
        <w:tc>
          <w:tcPr>
            <w:tcW w:w="5040" w:type="dxa"/>
            <w:tcBorders>
              <w:bottom w:val="nil"/>
              <w:right w:val="nil"/>
            </w:tcBorders>
          </w:tcPr>
          <w:p w14:paraId="5D1CD144" w14:textId="77777777" w:rsidR="00B63E76" w:rsidRDefault="00B63E76" w:rsidP="004B7A94">
            <w:pPr>
              <w:pStyle w:val="BodyText"/>
              <w:spacing w:line="360" w:lineRule="auto"/>
              <w:jc w:val="left"/>
            </w:pPr>
            <w:bookmarkStart w:id="9" w:name="ID84"/>
            <w:bookmarkEnd w:id="9"/>
            <w:r>
              <w:t>Can the voice or body be used for emphasis or to embellish certain points?</w:t>
            </w:r>
          </w:p>
        </w:tc>
      </w:tr>
      <w:tr w:rsidR="00B63E76" w14:paraId="3106662A" w14:textId="77777777" w:rsidTr="004B7A94">
        <w:tc>
          <w:tcPr>
            <w:tcW w:w="5040" w:type="dxa"/>
            <w:tcBorders>
              <w:bottom w:val="nil"/>
              <w:right w:val="nil"/>
            </w:tcBorders>
          </w:tcPr>
          <w:p w14:paraId="332AD028" w14:textId="77777777" w:rsidR="00B63E76" w:rsidRDefault="00B63E76" w:rsidP="004B7A94">
            <w:pPr>
              <w:pStyle w:val="BodyText"/>
              <w:spacing w:line="360" w:lineRule="auto"/>
              <w:jc w:val="left"/>
            </w:pPr>
            <w:bookmarkStart w:id="10" w:name="ID85"/>
            <w:bookmarkEnd w:id="10"/>
            <w:r>
              <w:t>Signposts</w:t>
            </w:r>
          </w:p>
        </w:tc>
        <w:tc>
          <w:tcPr>
            <w:tcW w:w="5040" w:type="dxa"/>
            <w:tcBorders>
              <w:bottom w:val="nil"/>
              <w:right w:val="nil"/>
            </w:tcBorders>
          </w:tcPr>
          <w:p w14:paraId="0C804C93" w14:textId="77777777" w:rsidR="00B63E76" w:rsidRDefault="00B63E76" w:rsidP="004B7A94">
            <w:pPr>
              <w:pStyle w:val="BodyText"/>
              <w:spacing w:line="360" w:lineRule="auto"/>
              <w:jc w:val="left"/>
            </w:pPr>
            <w:bookmarkStart w:id="11" w:name="ID86"/>
            <w:bookmarkEnd w:id="11"/>
            <w:r>
              <w:t>Are there clear linguistic signposts to help pupils follow the sequence and understand the key points?</w:t>
            </w:r>
          </w:p>
        </w:tc>
      </w:tr>
      <w:tr w:rsidR="00B63E76" w14:paraId="076F9F5D" w14:textId="77777777" w:rsidTr="004B7A94">
        <w:tc>
          <w:tcPr>
            <w:tcW w:w="5040" w:type="dxa"/>
            <w:tcBorders>
              <w:bottom w:val="nil"/>
              <w:right w:val="nil"/>
            </w:tcBorders>
          </w:tcPr>
          <w:p w14:paraId="5D8A2D07" w14:textId="77777777" w:rsidR="00B63E76" w:rsidRDefault="00B63E76" w:rsidP="004B7A94">
            <w:pPr>
              <w:pStyle w:val="BodyText"/>
              <w:spacing w:line="360" w:lineRule="auto"/>
              <w:jc w:val="left"/>
            </w:pPr>
            <w:bookmarkStart w:id="12" w:name="ID87"/>
            <w:bookmarkEnd w:id="12"/>
            <w:r>
              <w:t>Examples and non-examples</w:t>
            </w:r>
          </w:p>
        </w:tc>
        <w:tc>
          <w:tcPr>
            <w:tcW w:w="5040" w:type="dxa"/>
            <w:tcBorders>
              <w:bottom w:val="nil"/>
              <w:right w:val="nil"/>
            </w:tcBorders>
          </w:tcPr>
          <w:p w14:paraId="18EE423B" w14:textId="77777777" w:rsidR="00B63E76" w:rsidRDefault="00B63E76" w:rsidP="004B7A94">
            <w:pPr>
              <w:pStyle w:val="BodyText"/>
              <w:spacing w:line="360" w:lineRule="auto"/>
              <w:jc w:val="left"/>
            </w:pPr>
            <w:bookmarkStart w:id="13" w:name="ID88"/>
            <w:bookmarkEnd w:id="13"/>
            <w:r>
              <w:t>Are there sufficient examples and non-examples to aid pupils’ understanding of a concept?</w:t>
            </w:r>
          </w:p>
        </w:tc>
      </w:tr>
      <w:tr w:rsidR="00B63E76" w14:paraId="1F7673BB" w14:textId="77777777" w:rsidTr="004B7A94">
        <w:tc>
          <w:tcPr>
            <w:tcW w:w="5040" w:type="dxa"/>
            <w:tcBorders>
              <w:bottom w:val="nil"/>
              <w:right w:val="nil"/>
            </w:tcBorders>
          </w:tcPr>
          <w:p w14:paraId="604162AA" w14:textId="77777777" w:rsidR="00B63E76" w:rsidRDefault="00B63E76" w:rsidP="004B7A94">
            <w:pPr>
              <w:pStyle w:val="BodyText"/>
              <w:spacing w:line="360" w:lineRule="auto"/>
              <w:jc w:val="left"/>
            </w:pPr>
            <w:bookmarkStart w:id="14" w:name="ID89"/>
            <w:bookmarkEnd w:id="14"/>
            <w:r>
              <w:t>Models and analogies</w:t>
            </w:r>
          </w:p>
        </w:tc>
        <w:tc>
          <w:tcPr>
            <w:tcW w:w="5040" w:type="dxa"/>
            <w:tcBorders>
              <w:bottom w:val="nil"/>
              <w:right w:val="nil"/>
            </w:tcBorders>
          </w:tcPr>
          <w:p w14:paraId="4772F038" w14:textId="77777777" w:rsidR="00B63E76" w:rsidRDefault="00B63E76" w:rsidP="004B7A94">
            <w:pPr>
              <w:pStyle w:val="BodyText"/>
              <w:spacing w:line="360" w:lineRule="auto"/>
              <w:jc w:val="left"/>
            </w:pPr>
            <w:bookmarkStart w:id="15" w:name="ID90"/>
            <w:bookmarkEnd w:id="15"/>
            <w:r>
              <w:t>What models might help pupils understand an abstract idea? Are there any analogies you could use? Will pupils understand the analogy? How might you help pupils identify the strengths and weaknesses of the analogy?</w:t>
            </w:r>
          </w:p>
        </w:tc>
      </w:tr>
      <w:tr w:rsidR="00B63E76" w14:paraId="725E4985" w14:textId="77777777" w:rsidTr="004B7A94">
        <w:tc>
          <w:tcPr>
            <w:tcW w:w="5040" w:type="dxa"/>
            <w:tcBorders>
              <w:bottom w:val="nil"/>
              <w:right w:val="nil"/>
            </w:tcBorders>
          </w:tcPr>
          <w:p w14:paraId="1E42892E" w14:textId="77777777" w:rsidR="00B63E76" w:rsidRDefault="00B63E76" w:rsidP="004B7A94">
            <w:pPr>
              <w:pStyle w:val="BodyText"/>
              <w:spacing w:line="360" w:lineRule="auto"/>
              <w:jc w:val="left"/>
            </w:pPr>
            <w:bookmarkStart w:id="16" w:name="ID91"/>
            <w:bookmarkEnd w:id="16"/>
            <w:r>
              <w:t>Props</w:t>
            </w:r>
          </w:p>
        </w:tc>
        <w:tc>
          <w:tcPr>
            <w:tcW w:w="5040" w:type="dxa"/>
            <w:tcBorders>
              <w:bottom w:val="nil"/>
              <w:right w:val="nil"/>
            </w:tcBorders>
          </w:tcPr>
          <w:p w14:paraId="79955EAF" w14:textId="77777777" w:rsidR="00B63E76" w:rsidRDefault="00B63E76" w:rsidP="004B7A94">
            <w:pPr>
              <w:pStyle w:val="BodyText"/>
              <w:spacing w:line="360" w:lineRule="auto"/>
              <w:jc w:val="left"/>
            </w:pPr>
            <w:bookmarkStart w:id="17" w:name="ID92"/>
            <w:bookmarkEnd w:id="17"/>
            <w:r>
              <w:t>What concrete and visual aids can be used to help pupils understand more?</w:t>
            </w:r>
          </w:p>
        </w:tc>
      </w:tr>
      <w:tr w:rsidR="00B63E76" w14:paraId="1AE439EB" w14:textId="77777777" w:rsidTr="004B7A94">
        <w:tc>
          <w:tcPr>
            <w:tcW w:w="5040" w:type="dxa"/>
            <w:tcBorders>
              <w:bottom w:val="nil"/>
              <w:right w:val="nil"/>
            </w:tcBorders>
          </w:tcPr>
          <w:p w14:paraId="26376D87" w14:textId="77777777" w:rsidR="00B63E76" w:rsidRDefault="00B63E76" w:rsidP="004B7A94">
            <w:pPr>
              <w:pStyle w:val="BodyText"/>
              <w:spacing w:line="360" w:lineRule="auto"/>
              <w:jc w:val="left"/>
            </w:pPr>
            <w:bookmarkStart w:id="18" w:name="ID93"/>
            <w:bookmarkEnd w:id="18"/>
            <w:r>
              <w:t>Questions</w:t>
            </w:r>
          </w:p>
        </w:tc>
        <w:tc>
          <w:tcPr>
            <w:tcW w:w="5040" w:type="dxa"/>
            <w:tcBorders>
              <w:bottom w:val="nil"/>
              <w:right w:val="nil"/>
            </w:tcBorders>
          </w:tcPr>
          <w:p w14:paraId="37719169" w14:textId="77777777" w:rsidR="00B63E76" w:rsidRDefault="00B63E76" w:rsidP="004B7A94">
            <w:pPr>
              <w:pStyle w:val="BodyText"/>
              <w:spacing w:line="360" w:lineRule="auto"/>
              <w:jc w:val="left"/>
            </w:pPr>
            <w:bookmarkStart w:id="19" w:name="ID94"/>
            <w:bookmarkEnd w:id="19"/>
            <w:r>
              <w:t>Are there opportunities to check for pupils’ understanding at various points, to note and act on misconceptions or misunderstandings? Are there opportunities for pupils to rehearse their understanding?</w:t>
            </w:r>
          </w:p>
        </w:tc>
      </w:tr>
      <w:tr w:rsidR="00B63E76" w14:paraId="279981FD" w14:textId="77777777" w:rsidTr="004B7A94">
        <w:tc>
          <w:tcPr>
            <w:tcW w:w="5040" w:type="dxa"/>
            <w:tcBorders>
              <w:bottom w:val="nil"/>
              <w:right w:val="nil"/>
            </w:tcBorders>
          </w:tcPr>
          <w:p w14:paraId="408EBEDE" w14:textId="77777777" w:rsidR="00B63E76" w:rsidRDefault="00B63E76" w:rsidP="004B7A94">
            <w:pPr>
              <w:pStyle w:val="BodyText"/>
              <w:spacing w:line="360" w:lineRule="auto"/>
              <w:jc w:val="left"/>
            </w:pPr>
            <w:bookmarkStart w:id="20" w:name="ID95"/>
            <w:bookmarkEnd w:id="20"/>
            <w:r>
              <w:lastRenderedPageBreak/>
              <w:t>Connections to pupils’ experience</w:t>
            </w:r>
          </w:p>
        </w:tc>
        <w:tc>
          <w:tcPr>
            <w:tcW w:w="5040" w:type="dxa"/>
            <w:tcBorders>
              <w:bottom w:val="nil"/>
              <w:right w:val="nil"/>
            </w:tcBorders>
          </w:tcPr>
          <w:p w14:paraId="3F3D23F7" w14:textId="77777777" w:rsidR="00B63E76" w:rsidRDefault="00B63E76" w:rsidP="004B7A94">
            <w:pPr>
              <w:pStyle w:val="BodyText"/>
              <w:spacing w:line="360" w:lineRule="auto"/>
              <w:jc w:val="left"/>
            </w:pPr>
            <w:bookmarkStart w:id="21" w:name="ID96"/>
            <w:bookmarkEnd w:id="21"/>
            <w:r>
              <w:t>Are there opportunities, particularly at the start, to check pupils’ prior knowledge of the subject and to link to their everyday experiences?</w:t>
            </w:r>
          </w:p>
        </w:tc>
      </w:tr>
      <w:tr w:rsidR="00B63E76" w14:paraId="32A7802B" w14:textId="77777777" w:rsidTr="004B7A94">
        <w:tc>
          <w:tcPr>
            <w:tcW w:w="5040" w:type="dxa"/>
            <w:tcBorders>
              <w:bottom w:val="nil"/>
              <w:right w:val="nil"/>
            </w:tcBorders>
          </w:tcPr>
          <w:p w14:paraId="471C96C9" w14:textId="77777777" w:rsidR="00B63E76" w:rsidRDefault="00B63E76" w:rsidP="004B7A94">
            <w:pPr>
              <w:pStyle w:val="BodyText"/>
              <w:spacing w:line="360" w:lineRule="auto"/>
              <w:jc w:val="left"/>
            </w:pPr>
            <w:bookmarkStart w:id="22" w:name="ID97"/>
            <w:bookmarkEnd w:id="22"/>
            <w:r>
              <w:t>Repetition</w:t>
            </w:r>
          </w:p>
        </w:tc>
        <w:tc>
          <w:tcPr>
            <w:tcW w:w="5040" w:type="dxa"/>
            <w:tcBorders>
              <w:bottom w:val="nil"/>
              <w:right w:val="nil"/>
            </w:tcBorders>
          </w:tcPr>
          <w:p w14:paraId="2ED168A0" w14:textId="77777777" w:rsidR="00B63E76" w:rsidRDefault="00B63E76" w:rsidP="004B7A94">
            <w:pPr>
              <w:pStyle w:val="BodyText"/>
              <w:spacing w:line="360" w:lineRule="auto"/>
              <w:jc w:val="left"/>
            </w:pPr>
            <w:bookmarkStart w:id="23" w:name="ID98"/>
            <w:bookmarkEnd w:id="23"/>
            <w:r>
              <w:t>Are there distinct moments in the explanation when key points that should be learned are repeated and emphasised?</w:t>
            </w:r>
          </w:p>
        </w:tc>
      </w:tr>
      <w:tr w:rsidR="00B63E76" w14:paraId="1E490433" w14:textId="77777777" w:rsidTr="004B7A94">
        <w:tc>
          <w:tcPr>
            <w:tcW w:w="5040" w:type="dxa"/>
            <w:tcBorders>
              <w:bottom w:val="single" w:sz="6" w:space="0" w:color="auto"/>
              <w:right w:val="nil"/>
            </w:tcBorders>
          </w:tcPr>
          <w:p w14:paraId="5EECB461" w14:textId="77777777" w:rsidR="00B63E76" w:rsidRDefault="00B63E76" w:rsidP="004B7A94">
            <w:pPr>
              <w:pStyle w:val="BodyText"/>
              <w:spacing w:line="360" w:lineRule="auto"/>
              <w:jc w:val="left"/>
            </w:pPr>
            <w:bookmarkStart w:id="24" w:name="ID99"/>
            <w:bookmarkEnd w:id="24"/>
            <w:r>
              <w:t>Humour</w:t>
            </w:r>
          </w:p>
        </w:tc>
        <w:tc>
          <w:tcPr>
            <w:tcW w:w="5040" w:type="dxa"/>
            <w:tcBorders>
              <w:bottom w:val="single" w:sz="6" w:space="0" w:color="auto"/>
              <w:right w:val="nil"/>
            </w:tcBorders>
          </w:tcPr>
          <w:p w14:paraId="39D0E75F" w14:textId="77777777" w:rsidR="00B63E76" w:rsidRDefault="00B63E76" w:rsidP="004B7A94">
            <w:pPr>
              <w:pStyle w:val="BodyText"/>
              <w:spacing w:line="360" w:lineRule="auto"/>
              <w:jc w:val="left"/>
            </w:pPr>
            <w:bookmarkStart w:id="25" w:name="ID100"/>
            <w:bookmarkEnd w:id="25"/>
            <w:r>
              <w:t>When and how might it be appropriate to use humour?</w:t>
            </w:r>
          </w:p>
        </w:tc>
      </w:tr>
    </w:tbl>
    <w:p w14:paraId="7232E673" w14:textId="77777777" w:rsidR="00B63E76" w:rsidRDefault="00B63E76" w:rsidP="00B63E76">
      <w:pPr>
        <w:pStyle w:val="TableCaption"/>
        <w:spacing w:before="0" w:after="0" w:line="360" w:lineRule="auto"/>
        <w:jc w:val="left"/>
      </w:pPr>
      <w:bookmarkStart w:id="26" w:name="ID101"/>
      <w:bookmarkEnd w:id="26"/>
      <w:r>
        <w:tab/>
      </w:r>
    </w:p>
    <w:p w14:paraId="25BFC663" w14:textId="77777777" w:rsidR="00B63E76" w:rsidRDefault="00B63E76" w:rsidP="00B63E76">
      <w:pPr>
        <w:pStyle w:val="TableSource"/>
        <w:spacing w:before="0" w:after="0" w:line="360" w:lineRule="auto"/>
      </w:pPr>
      <w:bookmarkStart w:id="27" w:name="ID102"/>
      <w:bookmarkStart w:id="28" w:name="ID103"/>
      <w:bookmarkEnd w:id="27"/>
      <w:bookmarkEnd w:id="28"/>
      <w:r>
        <w:rPr>
          <w:i/>
          <w:iCs/>
        </w:rPr>
        <w:t>Source</w:t>
      </w:r>
      <w:r>
        <w:t>: Adapted from Department for Education and Skills (DfES) (2004, p.11)</w:t>
      </w:r>
    </w:p>
    <w:p w14:paraId="492A7A23" w14:textId="77777777" w:rsidR="00B63E76" w:rsidRDefault="00B63E76" w:rsidP="00B63E76">
      <w:pPr>
        <w:pStyle w:val="TableSource"/>
        <w:spacing w:before="0" w:after="0" w:line="360" w:lineRule="auto"/>
      </w:pPr>
    </w:p>
    <w:p w14:paraId="7D9C7710" w14:textId="77777777" w:rsidR="00B63E76" w:rsidRDefault="00B63E76" w:rsidP="00B63E76">
      <w:pPr>
        <w:pStyle w:val="TableSource"/>
        <w:spacing w:before="0" w:after="0" w:line="360" w:lineRule="auto"/>
      </w:pPr>
      <w:r>
        <w:t>Reference</w:t>
      </w:r>
    </w:p>
    <w:p w14:paraId="7690A5A8" w14:textId="77777777" w:rsidR="00B63E76" w:rsidRDefault="00B63E76" w:rsidP="00B63E76">
      <w:pPr>
        <w:pStyle w:val="TableSource"/>
        <w:spacing w:before="0" w:after="0" w:line="360" w:lineRule="auto"/>
      </w:pPr>
    </w:p>
    <w:p w14:paraId="2630202F" w14:textId="77777777" w:rsidR="00B63E76" w:rsidRPr="00497D4C" w:rsidRDefault="00B63E76" w:rsidP="00B63E76">
      <w:pPr>
        <w:rPr>
          <w:i/>
        </w:rPr>
      </w:pPr>
      <w:r>
        <w:t>D</w:t>
      </w:r>
      <w:r w:rsidRPr="00497D4C">
        <w:t>fES (Department for Education and Skills) (2004b)</w:t>
      </w:r>
      <w:r w:rsidRPr="00497D4C">
        <w:rPr>
          <w:i/>
        </w:rPr>
        <w:t xml:space="preserve"> Pedagogy and Practice: Teaching</w:t>
      </w:r>
    </w:p>
    <w:p w14:paraId="1F4F722F" w14:textId="77777777" w:rsidR="00B63E76" w:rsidRDefault="00B63E76" w:rsidP="00B63E76">
      <w:pPr>
        <w:pStyle w:val="TableSource"/>
        <w:spacing w:before="0" w:after="0" w:line="360" w:lineRule="auto"/>
      </w:pPr>
      <w:r w:rsidRPr="00497D4C">
        <w:rPr>
          <w:i/>
        </w:rPr>
        <w:t xml:space="preserve">     and Learning in the Secondary School, Unit 7 Questioning,</w:t>
      </w:r>
      <w:r w:rsidRPr="00497D4C">
        <w:t xml:space="preserve"> London: DfES, viewed 24 July 2025, </w:t>
      </w:r>
      <w:hyperlink r:id="rId6" w:history="1">
        <w:r w:rsidRPr="00497D4C">
          <w:rPr>
            <w:rStyle w:val="Hyperlink"/>
          </w:rPr>
          <w:t>https://webarchive.nationalarchives.gov.uk/20110813104224/http://nsonline.org.uk/node/174691?uc=force_uj</w:t>
        </w:r>
      </w:hyperlink>
    </w:p>
    <w:p w14:paraId="45DC3703" w14:textId="77777777" w:rsidR="00B63E76" w:rsidRDefault="00B63E76" w:rsidP="00B63E76">
      <w:pPr>
        <w:pStyle w:val="TableSource"/>
        <w:spacing w:before="0" w:after="0" w:line="360" w:lineRule="auto"/>
      </w:pPr>
    </w:p>
    <w:p w14:paraId="7B0F07C0" w14:textId="77777777" w:rsidR="00094B78" w:rsidRDefault="00094B78"/>
    <w:sectPr w:rsidR="00094B78">
      <w:headerReference w:type="default" r:id="rId7"/>
      <w:footerReference w:type="even"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391B7" w14:textId="77777777" w:rsidR="00B63E76" w:rsidRDefault="00B63E76" w:rsidP="00B63E76">
      <w:r>
        <w:separator/>
      </w:r>
    </w:p>
  </w:endnote>
  <w:endnote w:type="continuationSeparator" w:id="0">
    <w:p w14:paraId="55C94DC4" w14:textId="77777777" w:rsidR="00B63E76" w:rsidRDefault="00B63E76" w:rsidP="00B63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C1BE" w14:textId="3797CA35" w:rsidR="00B63E76" w:rsidRDefault="00B63E76">
    <w:pPr>
      <w:pStyle w:val="Footer"/>
    </w:pPr>
    <w:r>
      <w:rPr>
        <w:noProof/>
        <w14:ligatures w14:val="standardContextual"/>
      </w:rPr>
      <mc:AlternateContent>
        <mc:Choice Requires="wps">
          <w:drawing>
            <wp:anchor distT="0" distB="0" distL="0" distR="0" simplePos="0" relativeHeight="251659264" behindDoc="0" locked="0" layoutInCell="1" allowOverlap="1" wp14:anchorId="55351770" wp14:editId="768916FA">
              <wp:simplePos x="635" y="635"/>
              <wp:positionH relativeFrom="page">
                <wp:align>left</wp:align>
              </wp:positionH>
              <wp:positionV relativeFrom="page">
                <wp:align>bottom</wp:align>
              </wp:positionV>
              <wp:extent cx="2085975" cy="324485"/>
              <wp:effectExtent l="0" t="0" r="9525" b="0"/>
              <wp:wrapNone/>
              <wp:docPr id="1231620431"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1D135279" w14:textId="094FA5A8" w:rsidR="00B63E76" w:rsidRPr="00B63E76" w:rsidRDefault="00B63E76" w:rsidP="00B63E76">
                          <w:pPr>
                            <w:rPr>
                              <w:rFonts w:ascii="Rockwell" w:eastAsia="Rockwell" w:hAnsi="Rockwell" w:cs="Rockwell"/>
                              <w:noProof/>
                              <w:color w:val="0078D7"/>
                              <w:sz w:val="18"/>
                              <w:szCs w:val="18"/>
                            </w:rPr>
                          </w:pPr>
                          <w:r w:rsidRPr="00B63E76">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351770"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5.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" filled="f" stroked="f">
              <v:textbox style="mso-fit-shape-to-text:t" inset="20pt,0,0,15pt">
                <w:txbxContent>
                  <w:p w14:paraId="1D135279" w14:textId="094FA5A8" w:rsidR="00B63E76" w:rsidRPr="00B63E76" w:rsidRDefault="00B63E76" w:rsidP="00B63E76">
                    <w:pPr>
                      <w:rPr>
                        <w:rFonts w:ascii="Rockwell" w:eastAsia="Rockwell" w:hAnsi="Rockwell" w:cs="Rockwell"/>
                        <w:noProof/>
                        <w:color w:val="0078D7"/>
                        <w:sz w:val="18"/>
                        <w:szCs w:val="18"/>
                      </w:rPr>
                    </w:pPr>
                    <w:r w:rsidRPr="00B63E76">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AEAD9" w14:textId="2AA27C4A" w:rsidR="00B63E76" w:rsidRDefault="00B63E76">
    <w:pPr>
      <w:pStyle w:val="Footer"/>
    </w:pPr>
    <w:r>
      <w:rPr>
        <w:noProof/>
        <w14:ligatures w14:val="standardContextual"/>
      </w:rPr>
      <mc:AlternateContent>
        <mc:Choice Requires="wps">
          <w:drawing>
            <wp:anchor distT="0" distB="0" distL="0" distR="0" simplePos="0" relativeHeight="251660288" behindDoc="0" locked="0" layoutInCell="1" allowOverlap="1" wp14:anchorId="3686FB4D" wp14:editId="56120C2F">
              <wp:simplePos x="914400" y="10067925"/>
              <wp:positionH relativeFrom="page">
                <wp:align>left</wp:align>
              </wp:positionH>
              <wp:positionV relativeFrom="page">
                <wp:align>bottom</wp:align>
              </wp:positionV>
              <wp:extent cx="2085975" cy="324485"/>
              <wp:effectExtent l="0" t="0" r="9525" b="0"/>
              <wp:wrapNone/>
              <wp:docPr id="1606204179"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1611BF83" w14:textId="41ECD477" w:rsidR="00B63E76" w:rsidRPr="00B63E76" w:rsidRDefault="00B63E76" w:rsidP="00B63E76">
                          <w:pPr>
                            <w:rPr>
                              <w:rFonts w:ascii="Rockwell" w:eastAsia="Rockwell" w:hAnsi="Rockwell" w:cs="Rockwell"/>
                              <w:noProof/>
                              <w:color w:val="0078D7"/>
                              <w:sz w:val="18"/>
                              <w:szCs w:val="18"/>
                            </w:rPr>
                          </w:pPr>
                          <w:r w:rsidRPr="00B63E76">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86FB4D"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25.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" filled="f" stroked="f">
              <v:textbox style="mso-fit-shape-to-text:t" inset="20pt,0,0,15pt">
                <w:txbxContent>
                  <w:p w14:paraId="1611BF83" w14:textId="41ECD477" w:rsidR="00B63E76" w:rsidRPr="00B63E76" w:rsidRDefault="00B63E76" w:rsidP="00B63E76">
                    <w:pPr>
                      <w:rPr>
                        <w:rFonts w:ascii="Rockwell" w:eastAsia="Rockwell" w:hAnsi="Rockwell" w:cs="Rockwell"/>
                        <w:noProof/>
                        <w:color w:val="0078D7"/>
                        <w:sz w:val="18"/>
                        <w:szCs w:val="18"/>
                      </w:rPr>
                    </w:pPr>
                    <w:r w:rsidRPr="00B63E76">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49658" w14:textId="27203B9E" w:rsidR="00B63E76" w:rsidRDefault="00B63E76">
    <w:pPr>
      <w:pStyle w:val="Footer"/>
    </w:pPr>
    <w:r>
      <w:rPr>
        <w:noProof/>
        <w14:ligatures w14:val="standardContextual"/>
      </w:rPr>
      <mc:AlternateContent>
        <mc:Choice Requires="wps">
          <w:drawing>
            <wp:anchor distT="0" distB="0" distL="0" distR="0" simplePos="0" relativeHeight="251658240" behindDoc="0" locked="0" layoutInCell="1" allowOverlap="1" wp14:anchorId="1A9BDF50" wp14:editId="3B584D49">
              <wp:simplePos x="635" y="635"/>
              <wp:positionH relativeFrom="page">
                <wp:align>left</wp:align>
              </wp:positionH>
              <wp:positionV relativeFrom="page">
                <wp:align>bottom</wp:align>
              </wp:positionV>
              <wp:extent cx="2085975" cy="324485"/>
              <wp:effectExtent l="0" t="0" r="9525" b="0"/>
              <wp:wrapNone/>
              <wp:docPr id="1703405629"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24485"/>
                      </a:xfrm>
                      <a:prstGeom prst="rect">
                        <a:avLst/>
                      </a:prstGeom>
                      <a:noFill/>
                      <a:ln>
                        <a:noFill/>
                      </a:ln>
                    </wps:spPr>
                    <wps:txbx>
                      <w:txbxContent>
                        <w:p w14:paraId="12A7D4C0" w14:textId="4B9972BC" w:rsidR="00B63E76" w:rsidRPr="00B63E76" w:rsidRDefault="00B63E76" w:rsidP="00B63E76">
                          <w:pPr>
                            <w:rPr>
                              <w:rFonts w:ascii="Rockwell" w:eastAsia="Rockwell" w:hAnsi="Rockwell" w:cs="Rockwell"/>
                              <w:noProof/>
                              <w:color w:val="0078D7"/>
                              <w:sz w:val="18"/>
                              <w:szCs w:val="18"/>
                            </w:rPr>
                          </w:pPr>
                          <w:r w:rsidRPr="00B63E76">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9BDF50"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5.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" filled="f" stroked="f">
              <v:textbox style="mso-fit-shape-to-text:t" inset="20pt,0,0,15pt">
                <w:txbxContent>
                  <w:p w14:paraId="12A7D4C0" w14:textId="4B9972BC" w:rsidR="00B63E76" w:rsidRPr="00B63E76" w:rsidRDefault="00B63E76" w:rsidP="00B63E76">
                    <w:pPr>
                      <w:rPr>
                        <w:rFonts w:ascii="Rockwell" w:eastAsia="Rockwell" w:hAnsi="Rockwell" w:cs="Rockwell"/>
                        <w:noProof/>
                        <w:color w:val="0078D7"/>
                        <w:sz w:val="18"/>
                        <w:szCs w:val="18"/>
                      </w:rPr>
                    </w:pPr>
                    <w:r w:rsidRPr="00B63E76">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B6BD4" w14:textId="77777777" w:rsidR="00B63E76" w:rsidRDefault="00B63E76" w:rsidP="00B63E76">
      <w:r>
        <w:separator/>
      </w:r>
    </w:p>
  </w:footnote>
  <w:footnote w:type="continuationSeparator" w:id="0">
    <w:p w14:paraId="6ADBDDDA" w14:textId="77777777" w:rsidR="00B63E76" w:rsidRDefault="00B63E76" w:rsidP="00B63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94570" w14:textId="107A5C78" w:rsidR="00D4673E" w:rsidRDefault="00D4673E">
    <w:pPr>
      <w:pStyle w:val="Header"/>
    </w:pPr>
    <w:r w:rsidRPr="00D4673E">
      <w:t xml:space="preserve">© Younie, S., </w:t>
    </w:r>
    <w:proofErr w:type="spellStart"/>
    <w:r w:rsidRPr="00D4673E">
      <w:t>Hidson</w:t>
    </w:r>
    <w:proofErr w:type="spellEnd"/>
    <w:r w:rsidRPr="00D4673E">
      <w:t xml:space="preserve">, E., Lawrence, J., &amp; Booth, N. (2026) </w:t>
    </w:r>
    <w:r w:rsidRPr="00D4673E">
      <w:rPr>
        <w:i/>
        <w:iCs/>
      </w:rPr>
      <w:t xml:space="preserve">Learning to Teach in the Secondary School </w:t>
    </w:r>
    <w:r w:rsidRPr="00D4673E">
      <w:t>(10th Ed.). Routledge.</w:t>
    </w:r>
  </w:p>
  <w:p w14:paraId="435D6562" w14:textId="77777777" w:rsidR="00D4673E" w:rsidRDefault="00D4673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E76"/>
    <w:rsid w:val="00094B78"/>
    <w:rsid w:val="000D444C"/>
    <w:rsid w:val="005B631A"/>
    <w:rsid w:val="00B63E76"/>
    <w:rsid w:val="00D467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C6A70"/>
  <w15:chartTrackingRefBased/>
  <w15:docId w15:val="{0FCFA917-EC3C-4566-838F-222DEB7F6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E76"/>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B63E7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63E7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63E7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63E7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B63E76"/>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B63E7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B63E7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B63E7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B63E7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E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3E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3E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3E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3E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3E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3E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3E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3E76"/>
    <w:rPr>
      <w:rFonts w:eastAsiaTheme="majorEastAsia" w:cstheme="majorBidi"/>
      <w:color w:val="272727" w:themeColor="text1" w:themeTint="D8"/>
    </w:rPr>
  </w:style>
  <w:style w:type="paragraph" w:styleId="Title">
    <w:name w:val="Title"/>
    <w:basedOn w:val="Normal"/>
    <w:next w:val="Normal"/>
    <w:link w:val="TitleChar"/>
    <w:uiPriority w:val="10"/>
    <w:qFormat/>
    <w:rsid w:val="00B63E7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63E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3E7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63E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3E7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B63E76"/>
    <w:rPr>
      <w:i/>
      <w:iCs/>
      <w:color w:val="404040" w:themeColor="text1" w:themeTint="BF"/>
    </w:rPr>
  </w:style>
  <w:style w:type="paragraph" w:styleId="ListParagraph">
    <w:name w:val="List Paragraph"/>
    <w:basedOn w:val="Normal"/>
    <w:uiPriority w:val="34"/>
    <w:qFormat/>
    <w:rsid w:val="00B63E7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B63E76"/>
    <w:rPr>
      <w:i/>
      <w:iCs/>
      <w:color w:val="0F4761" w:themeColor="accent1" w:themeShade="BF"/>
    </w:rPr>
  </w:style>
  <w:style w:type="paragraph" w:styleId="IntenseQuote">
    <w:name w:val="Intense Quote"/>
    <w:basedOn w:val="Normal"/>
    <w:next w:val="Normal"/>
    <w:link w:val="IntenseQuoteChar"/>
    <w:uiPriority w:val="30"/>
    <w:qFormat/>
    <w:rsid w:val="00B63E7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B63E76"/>
    <w:rPr>
      <w:i/>
      <w:iCs/>
      <w:color w:val="0F4761" w:themeColor="accent1" w:themeShade="BF"/>
    </w:rPr>
  </w:style>
  <w:style w:type="character" w:styleId="IntenseReference">
    <w:name w:val="Intense Reference"/>
    <w:basedOn w:val="DefaultParagraphFont"/>
    <w:uiPriority w:val="32"/>
    <w:qFormat/>
    <w:rsid w:val="00B63E76"/>
    <w:rPr>
      <w:b/>
      <w:bCs/>
      <w:smallCaps/>
      <w:color w:val="0F4761" w:themeColor="accent1" w:themeShade="BF"/>
      <w:spacing w:val="5"/>
    </w:rPr>
  </w:style>
  <w:style w:type="paragraph" w:styleId="BodyText">
    <w:name w:val="Body Text"/>
    <w:link w:val="BodyTextChar"/>
    <w:rsid w:val="00B63E76"/>
    <w:pPr>
      <w:spacing w:after="0" w:line="480" w:lineRule="auto"/>
      <w:jc w:val="both"/>
    </w:pPr>
    <w:rPr>
      <w:rFonts w:ascii="Times New Roman" w:eastAsia="Times New Roman" w:hAnsi="Times New Roman" w:cs="Times New Roman"/>
      <w:kern w:val="0"/>
      <w:lang w:eastAsia="en-GB"/>
      <w14:ligatures w14:val="none"/>
    </w:rPr>
  </w:style>
  <w:style w:type="character" w:customStyle="1" w:styleId="BodyTextChar">
    <w:name w:val="Body Text Char"/>
    <w:basedOn w:val="DefaultParagraphFont"/>
    <w:link w:val="BodyText"/>
    <w:rsid w:val="00B63E76"/>
    <w:rPr>
      <w:rFonts w:ascii="Times New Roman" w:eastAsia="Times New Roman" w:hAnsi="Times New Roman" w:cs="Times New Roman"/>
      <w:kern w:val="0"/>
      <w:lang w:eastAsia="en-GB"/>
      <w14:ligatures w14:val="none"/>
    </w:rPr>
  </w:style>
  <w:style w:type="paragraph" w:customStyle="1" w:styleId="TableCaption">
    <w:name w:val="Table Caption"/>
    <w:rsid w:val="00B63E76"/>
    <w:pPr>
      <w:keepNext/>
      <w:spacing w:before="240" w:after="240" w:line="480" w:lineRule="auto"/>
      <w:jc w:val="both"/>
    </w:pPr>
    <w:rPr>
      <w:rFonts w:ascii="Times New Roman" w:eastAsia="Times New Roman" w:hAnsi="Times New Roman" w:cs="Times New Roman"/>
      <w:kern w:val="0"/>
      <w:lang w:eastAsia="en-GB"/>
      <w14:ligatures w14:val="none"/>
    </w:rPr>
  </w:style>
  <w:style w:type="paragraph" w:customStyle="1" w:styleId="TableSource">
    <w:name w:val="Table Source"/>
    <w:rsid w:val="00B63E76"/>
    <w:pPr>
      <w:keepNext/>
      <w:spacing w:before="240" w:after="240" w:line="480" w:lineRule="auto"/>
    </w:pPr>
    <w:rPr>
      <w:rFonts w:ascii="Times New Roman" w:eastAsia="Times New Roman" w:hAnsi="Times New Roman" w:cs="Times New Roman"/>
      <w:kern w:val="0"/>
      <w:lang w:eastAsia="en-GB"/>
      <w14:ligatures w14:val="none"/>
    </w:rPr>
  </w:style>
  <w:style w:type="character" w:styleId="Hyperlink">
    <w:name w:val="Hyperlink"/>
    <w:rsid w:val="00B63E76"/>
    <w:rPr>
      <w:rFonts w:ascii="Times New Roman" w:hAnsi="Times New Roman"/>
      <w:u w:val="single"/>
      <w:lang w:val="en-GB"/>
    </w:rPr>
  </w:style>
  <w:style w:type="paragraph" w:styleId="Footer">
    <w:name w:val="footer"/>
    <w:basedOn w:val="Normal"/>
    <w:link w:val="FooterChar"/>
    <w:uiPriority w:val="99"/>
    <w:unhideWhenUsed/>
    <w:rsid w:val="00B63E76"/>
    <w:pPr>
      <w:tabs>
        <w:tab w:val="center" w:pos="4513"/>
        <w:tab w:val="right" w:pos="9026"/>
      </w:tabs>
    </w:pPr>
  </w:style>
  <w:style w:type="character" w:customStyle="1" w:styleId="FooterChar">
    <w:name w:val="Footer Char"/>
    <w:basedOn w:val="DefaultParagraphFont"/>
    <w:link w:val="Footer"/>
    <w:uiPriority w:val="99"/>
    <w:rsid w:val="00B63E76"/>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D4673E"/>
    <w:pPr>
      <w:tabs>
        <w:tab w:val="center" w:pos="4513"/>
        <w:tab w:val="right" w:pos="9026"/>
      </w:tabs>
    </w:pPr>
  </w:style>
  <w:style w:type="character" w:customStyle="1" w:styleId="HeaderChar">
    <w:name w:val="Header Char"/>
    <w:basedOn w:val="DefaultParagraphFont"/>
    <w:link w:val="Header"/>
    <w:uiPriority w:val="99"/>
    <w:rsid w:val="00D4673E"/>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barchive.nationalarchives.gov.uk/20110813104224/http://nsonline.org.uk/node/174691?uc=force_uj" TargetMode="External"/><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43DE67C22F4940BBE9D170DAE04CAF" ma:contentTypeVersion="18" ma:contentTypeDescription="Create a new document." ma:contentTypeScope="" ma:versionID="50b3c8d461ed132ee39070c7dbf0b0ed">
  <xsd:schema xmlns:xsd="http://www.w3.org/2001/XMLSchema" xmlns:xs="http://www.w3.org/2001/XMLSchema" xmlns:p="http://schemas.microsoft.com/office/2006/metadata/properties" xmlns:ns2="758b23b8-80ab-4871-af94-265c2a70562d" xmlns:ns3="94d707cb-8288-4c59-8fe9-a457835741f6" targetNamespace="http://schemas.microsoft.com/office/2006/metadata/properties" ma:root="true" ma:fieldsID="2f3ebda7f9c4e1b852dc052020f98b93" ns2:_="" ns3:_="">
    <xsd:import namespace="758b23b8-80ab-4871-af94-265c2a70562d"/>
    <xsd:import namespace="94d707cb-8288-4c59-8fe9-a457835741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b23b8-80ab-4871-af94-265c2a705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dc0606b-8e5a-4aee-a68c-f4efcab0e83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707cb-8288-4c59-8fe9-a457835741f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ad51846-cd3e-44b1-a42e-8df071718a87}" ma:internalName="TaxCatchAll" ma:showField="CatchAllData" ma:web="94d707cb-8288-4c59-8fe9-a457835741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8b23b8-80ab-4871-af94-265c2a70562d">
      <Terms xmlns="http://schemas.microsoft.com/office/infopath/2007/PartnerControls"/>
    </lcf76f155ced4ddcb4097134ff3c332f>
    <TaxCatchAll xmlns="94d707cb-8288-4c59-8fe9-a457835741f6" xsi:nil="true"/>
  </documentManagement>
</p:properties>
</file>

<file path=customXml/itemProps1.xml><?xml version="1.0" encoding="utf-8"?>
<ds:datastoreItem xmlns:ds="http://schemas.openxmlformats.org/officeDocument/2006/customXml" ds:itemID="{20D39CFA-CCB0-483A-9D80-D1C652820463}"/>
</file>

<file path=customXml/itemProps2.xml><?xml version="1.0" encoding="utf-8"?>
<ds:datastoreItem xmlns:ds="http://schemas.openxmlformats.org/officeDocument/2006/customXml" ds:itemID="{13E241D9-7E45-4A21-A0B3-9F7CB0094891}"/>
</file>

<file path=customXml/itemProps3.xml><?xml version="1.0" encoding="utf-8"?>
<ds:datastoreItem xmlns:ds="http://schemas.openxmlformats.org/officeDocument/2006/customXml" ds:itemID="{2733823B-164B-4FF6-B25F-4E88C882D9D4}"/>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1800</Characters>
  <Application>Microsoft Office Word</Application>
  <DocSecurity>0</DocSecurity>
  <Lines>15</Lines>
  <Paragraphs>4</Paragraphs>
  <ScaleCrop>false</ScaleCrop>
  <Company>Informa plc</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Sharpe, Tori</dc:creator>
  <cp:keywords/>
  <dc:description/>
  <cp:lastModifiedBy>Sharpe, Tori</cp:lastModifiedBy>
  <cp:revision>2</cp:revision>
  <dcterms:created xsi:type="dcterms:W3CDTF">2026-05-11T12:00:00Z</dcterms:created>
  <dcterms:modified xsi:type="dcterms:W3CDTF">2026-05-11T12:16:00Z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6587e83d,4969094f,5fbcbb13</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2026-05-11T12:01:29Z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52e74915-57e5-465a-957c-7a24c175fc68</vt:lpwstr>
  </property>
  <property fmtid="{D5CDD505-2E9C-101B-9397-08002B2CF9AE}" pid="11" name="MSIP_Label_2bbab825-a111-45e4-86a1-18cee0005896_ContentBits">
    <vt:lpwstr>2</vt:lpwstr>
  </property>
  <property fmtid="{D5CDD505-2E9C-101B-9397-08002B2CF9AE}" pid="12" name="MSIP_Label_2bbab825-a111-45e4-86a1-18cee0005896_Tag">
    <vt:lpwstr>10, 3, 0, 1</vt:lpwstr>
  </property>
  <property fmtid="{D5CDD505-2E9C-101B-9397-08002B2CF9AE}" pid="13" name="ContentTypeId">
    <vt:lpwstr>0x0101006B43DE67C22F4940BBE9D170DAE04CAF</vt:lpwstr>
  </property>
</Properties>
</file>