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45327" w14:textId="7488D474" w:rsidR="000B6C1A" w:rsidRDefault="000B6C1A" w:rsidP="000B6C1A">
      <w:pPr>
        <w:pStyle w:val="TableCaption"/>
        <w:spacing w:before="0" w:after="0" w:line="360" w:lineRule="auto"/>
        <w:jc w:val="left"/>
      </w:pPr>
      <w:r w:rsidRPr="00DB1FB3">
        <w:rPr>
          <w:b/>
          <w:bCs/>
        </w:rPr>
        <w:t xml:space="preserve">Table </w:t>
      </w:r>
      <w:proofErr w:type="gramStart"/>
      <w:r w:rsidRPr="00DB1FB3">
        <w:rPr>
          <w:b/>
          <w:bCs/>
        </w:rPr>
        <w:t>3.1.2</w:t>
      </w:r>
      <w:r w:rsidR="0080639E">
        <w:t xml:space="preserve"> </w:t>
      </w:r>
      <w:r w:rsidR="005C69F5">
        <w:t xml:space="preserve"> </w:t>
      </w:r>
      <w:r>
        <w:t>Linking</w:t>
      </w:r>
      <w:proofErr w:type="gramEnd"/>
      <w:r>
        <w:t xml:space="preserve"> </w:t>
      </w:r>
      <w:bookmarkStart w:id="0" w:name="ID137"/>
      <w:bookmarkEnd w:id="0"/>
      <w:r w:rsidR="0080639E">
        <w:t xml:space="preserve">Bloom et </w:t>
      </w:r>
      <w:proofErr w:type="spellStart"/>
      <w:r w:rsidR="0080639E">
        <w:t>al’s</w:t>
      </w:r>
      <w:proofErr w:type="spellEnd"/>
      <w:r w:rsidR="0080639E">
        <w:t xml:space="preserve"> (1956) and Anderson </w:t>
      </w:r>
      <w:r w:rsidR="0080639E" w:rsidRPr="00497D4C">
        <w:rPr>
          <w:color w:val="000000" w:themeColor="text1"/>
          <w:lang w:val="en-US"/>
        </w:rPr>
        <w:t>and Krathwohl</w:t>
      </w:r>
      <w:r w:rsidR="0080639E">
        <w:rPr>
          <w:color w:val="000000" w:themeColor="text1"/>
          <w:lang w:val="en-US"/>
        </w:rPr>
        <w:t xml:space="preserve">’s </w:t>
      </w:r>
      <w:r w:rsidR="0080639E" w:rsidRPr="00497D4C">
        <w:rPr>
          <w:color w:val="000000" w:themeColor="text1"/>
          <w:lang w:val="en-US"/>
        </w:rPr>
        <w:t>(2001</w:t>
      </w:r>
      <w:r w:rsidR="0080639E">
        <w:rPr>
          <w:color w:val="000000" w:themeColor="text1"/>
          <w:lang w:val="en-US"/>
        </w:rPr>
        <w:t xml:space="preserve">) </w:t>
      </w:r>
      <w:r>
        <w:t>adapted taxonomy to what pupils need to do, thinking processes and possible question stems</w:t>
      </w:r>
    </w:p>
    <w:tbl>
      <w:tblPr>
        <w:tblW w:w="16302" w:type="dxa"/>
        <w:tblInd w:w="-1134" w:type="dxa"/>
        <w:tblBorders>
          <w:top w:val="single" w:sz="6" w:space="0" w:color="auto"/>
          <w:bottom w:val="single" w:sz="6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2552"/>
        <w:gridCol w:w="2835"/>
        <w:gridCol w:w="4110"/>
        <w:gridCol w:w="3828"/>
      </w:tblGrid>
      <w:tr w:rsidR="000B6C1A" w:rsidRPr="00615FD9" w14:paraId="2FF1825F" w14:textId="77777777" w:rsidTr="004656A8">
        <w:trPr>
          <w:tblHeader/>
        </w:trPr>
        <w:tc>
          <w:tcPr>
            <w:tcW w:w="1560" w:type="dxa"/>
            <w:tcBorders>
              <w:top w:val="single" w:sz="6" w:space="0" w:color="auto"/>
              <w:bottom w:val="nil"/>
              <w:right w:val="nil"/>
            </w:tcBorders>
          </w:tcPr>
          <w:p w14:paraId="4986AE99" w14:textId="77777777" w:rsidR="000B6C1A" w:rsidRPr="004656A8" w:rsidRDefault="000B6C1A" w:rsidP="00CB2A25">
            <w:pPr>
              <w:pStyle w:val="BodyText"/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bookmarkStart w:id="1" w:name="ID138"/>
            <w:bookmarkEnd w:id="1"/>
            <w:proofErr w:type="gramStart"/>
            <w:r w:rsidRPr="004656A8">
              <w:rPr>
                <w:b/>
                <w:bCs/>
                <w:sz w:val="20"/>
                <w:szCs w:val="20"/>
              </w:rPr>
              <w:t>Cognitive  objective</w:t>
            </w:r>
            <w:proofErr w:type="gramEnd"/>
          </w:p>
          <w:p w14:paraId="4EE4FC99" w14:textId="77777777" w:rsidR="000B6C1A" w:rsidRPr="004656A8" w:rsidRDefault="000B6C1A" w:rsidP="00CB2A25">
            <w:pPr>
              <w:pStyle w:val="BodyText"/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656A8">
              <w:rPr>
                <w:b/>
                <w:bCs/>
                <w:sz w:val="20"/>
                <w:szCs w:val="20"/>
              </w:rPr>
              <w:t>(Bloom)</w:t>
            </w:r>
          </w:p>
        </w:tc>
        <w:tc>
          <w:tcPr>
            <w:tcW w:w="1417" w:type="dxa"/>
            <w:tcBorders>
              <w:top w:val="single" w:sz="6" w:space="0" w:color="auto"/>
              <w:bottom w:val="nil"/>
            </w:tcBorders>
          </w:tcPr>
          <w:p w14:paraId="41BB6255" w14:textId="77777777" w:rsidR="000B6C1A" w:rsidRPr="004656A8" w:rsidRDefault="000B6C1A" w:rsidP="00CB2A25">
            <w:pPr>
              <w:pStyle w:val="BodyText"/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656A8">
              <w:rPr>
                <w:b/>
                <w:bCs/>
                <w:sz w:val="20"/>
                <w:szCs w:val="20"/>
              </w:rPr>
              <w:t xml:space="preserve">Anderson et al </w:t>
            </w:r>
          </w:p>
        </w:tc>
        <w:tc>
          <w:tcPr>
            <w:tcW w:w="2552" w:type="dxa"/>
            <w:tcBorders>
              <w:top w:val="single" w:sz="6" w:space="0" w:color="auto"/>
              <w:bottom w:val="nil"/>
              <w:right w:val="nil"/>
            </w:tcBorders>
          </w:tcPr>
          <w:p w14:paraId="4CB82E2B" w14:textId="77777777" w:rsidR="000B6C1A" w:rsidRPr="004656A8" w:rsidRDefault="000B6C1A" w:rsidP="00CB2A25">
            <w:pPr>
              <w:pStyle w:val="BodyText"/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bookmarkStart w:id="2" w:name="ID139"/>
            <w:bookmarkEnd w:id="2"/>
            <w:r w:rsidRPr="004656A8">
              <w:rPr>
                <w:b/>
                <w:bCs/>
                <w:sz w:val="20"/>
                <w:szCs w:val="20"/>
              </w:rPr>
              <w:t>What pupils need to do</w:t>
            </w:r>
          </w:p>
        </w:tc>
        <w:tc>
          <w:tcPr>
            <w:tcW w:w="2835" w:type="dxa"/>
            <w:tcBorders>
              <w:top w:val="single" w:sz="6" w:space="0" w:color="auto"/>
              <w:bottom w:val="nil"/>
              <w:right w:val="nil"/>
            </w:tcBorders>
          </w:tcPr>
          <w:p w14:paraId="50D018E9" w14:textId="77777777" w:rsidR="000B6C1A" w:rsidRPr="004656A8" w:rsidRDefault="000B6C1A" w:rsidP="00CB2A25">
            <w:pPr>
              <w:pStyle w:val="BodyText"/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bookmarkStart w:id="3" w:name="ID140"/>
            <w:bookmarkEnd w:id="3"/>
            <w:r w:rsidRPr="004656A8">
              <w:rPr>
                <w:b/>
                <w:bCs/>
                <w:sz w:val="20"/>
                <w:szCs w:val="20"/>
              </w:rPr>
              <w:t>Use of questioning to develop higher-order thinking skills</w:t>
            </w:r>
          </w:p>
        </w:tc>
        <w:tc>
          <w:tcPr>
            <w:tcW w:w="4110" w:type="dxa"/>
            <w:tcBorders>
              <w:top w:val="single" w:sz="6" w:space="0" w:color="auto"/>
              <w:bottom w:val="nil"/>
              <w:right w:val="nil"/>
            </w:tcBorders>
          </w:tcPr>
          <w:p w14:paraId="5A58950F" w14:textId="77777777" w:rsidR="000B6C1A" w:rsidRPr="004656A8" w:rsidRDefault="000B6C1A" w:rsidP="00CB2A25">
            <w:pPr>
              <w:pStyle w:val="BodyText"/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bookmarkStart w:id="4" w:name="ID141"/>
            <w:bookmarkEnd w:id="4"/>
            <w:r w:rsidRPr="004656A8">
              <w:rPr>
                <w:b/>
                <w:bCs/>
                <w:sz w:val="20"/>
                <w:szCs w:val="20"/>
              </w:rPr>
              <w:t>Links to thinking</w:t>
            </w:r>
          </w:p>
        </w:tc>
        <w:tc>
          <w:tcPr>
            <w:tcW w:w="3828" w:type="dxa"/>
            <w:tcBorders>
              <w:top w:val="single" w:sz="6" w:space="0" w:color="auto"/>
              <w:bottom w:val="nil"/>
              <w:right w:val="nil"/>
            </w:tcBorders>
          </w:tcPr>
          <w:p w14:paraId="135B484E" w14:textId="77777777" w:rsidR="000B6C1A" w:rsidRPr="004656A8" w:rsidRDefault="000B6C1A" w:rsidP="00CB2A25">
            <w:pPr>
              <w:pStyle w:val="BodyText"/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bookmarkStart w:id="5" w:name="ID142"/>
            <w:bookmarkEnd w:id="5"/>
            <w:r w:rsidRPr="004656A8">
              <w:rPr>
                <w:b/>
                <w:bCs/>
                <w:sz w:val="20"/>
                <w:szCs w:val="20"/>
              </w:rPr>
              <w:t>Possible question stems</w:t>
            </w:r>
          </w:p>
        </w:tc>
      </w:tr>
      <w:tr w:rsidR="000B6C1A" w:rsidRPr="00615FD9" w14:paraId="04462B0C" w14:textId="77777777" w:rsidTr="004656A8">
        <w:tc>
          <w:tcPr>
            <w:tcW w:w="1560" w:type="dxa"/>
            <w:tcBorders>
              <w:top w:val="single" w:sz="6" w:space="0" w:color="auto"/>
              <w:bottom w:val="nil"/>
              <w:right w:val="nil"/>
            </w:tcBorders>
          </w:tcPr>
          <w:p w14:paraId="5F234C87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6" w:name="ID143"/>
            <w:bookmarkEnd w:id="6"/>
            <w:r w:rsidRPr="00615FD9">
              <w:rPr>
                <w:sz w:val="20"/>
                <w:szCs w:val="20"/>
              </w:rPr>
              <w:t>Knowledge</w:t>
            </w:r>
          </w:p>
        </w:tc>
        <w:tc>
          <w:tcPr>
            <w:tcW w:w="1417" w:type="dxa"/>
            <w:tcBorders>
              <w:top w:val="single" w:sz="6" w:space="0" w:color="auto"/>
              <w:bottom w:val="nil"/>
            </w:tcBorders>
          </w:tcPr>
          <w:p w14:paraId="683BC4F6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r w:rsidRPr="00615FD9">
              <w:rPr>
                <w:sz w:val="20"/>
                <w:szCs w:val="20"/>
              </w:rPr>
              <w:t>Remember</w:t>
            </w:r>
          </w:p>
        </w:tc>
        <w:tc>
          <w:tcPr>
            <w:tcW w:w="2552" w:type="dxa"/>
            <w:tcBorders>
              <w:top w:val="single" w:sz="6" w:space="0" w:color="auto"/>
              <w:bottom w:val="nil"/>
              <w:right w:val="nil"/>
            </w:tcBorders>
          </w:tcPr>
          <w:p w14:paraId="57FFFD1D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7" w:name="ID144"/>
            <w:bookmarkEnd w:id="7"/>
            <w:r w:rsidRPr="00615FD9">
              <w:rPr>
                <w:sz w:val="20"/>
                <w:szCs w:val="20"/>
              </w:rPr>
              <w:t>Define Recall Describe Label Identify Match</w:t>
            </w:r>
          </w:p>
        </w:tc>
        <w:tc>
          <w:tcPr>
            <w:tcW w:w="2835" w:type="dxa"/>
            <w:tcBorders>
              <w:top w:val="single" w:sz="6" w:space="0" w:color="auto"/>
              <w:bottom w:val="nil"/>
              <w:right w:val="nil"/>
            </w:tcBorders>
          </w:tcPr>
          <w:p w14:paraId="129E2305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8" w:name="ID145"/>
            <w:bookmarkEnd w:id="8"/>
            <w:r w:rsidRPr="00615FD9">
              <w:rPr>
                <w:sz w:val="20"/>
                <w:szCs w:val="20"/>
              </w:rPr>
              <w:t>To help pupils link aspects of existing knowledge or relevant information to the task ahead.</w:t>
            </w:r>
          </w:p>
        </w:tc>
        <w:tc>
          <w:tcPr>
            <w:tcW w:w="4110" w:type="dxa"/>
            <w:tcBorders>
              <w:top w:val="single" w:sz="6" w:space="0" w:color="auto"/>
              <w:bottom w:val="nil"/>
              <w:right w:val="nil"/>
            </w:tcBorders>
          </w:tcPr>
          <w:p w14:paraId="57B2365B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9" w:name="ID146"/>
            <w:bookmarkEnd w:id="9"/>
            <w:r w:rsidRPr="00615FD9">
              <w:rPr>
                <w:sz w:val="20"/>
                <w:szCs w:val="20"/>
              </w:rPr>
              <w:t>Pupils are more likely to retain information if it is needed for a specific task and linked to other relevant information. Do your questions in this area allow pupils to link aspects of knowledge necessary for the task?</w:t>
            </w:r>
          </w:p>
        </w:tc>
        <w:tc>
          <w:tcPr>
            <w:tcW w:w="3828" w:type="dxa"/>
            <w:tcBorders>
              <w:top w:val="single" w:sz="6" w:space="0" w:color="auto"/>
              <w:bottom w:val="nil"/>
              <w:right w:val="nil"/>
            </w:tcBorders>
          </w:tcPr>
          <w:p w14:paraId="6ADC1C18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10" w:name="ID147"/>
            <w:bookmarkEnd w:id="10"/>
            <w:r w:rsidRPr="00615FD9">
              <w:rPr>
                <w:sz w:val="20"/>
                <w:szCs w:val="20"/>
              </w:rPr>
              <w:t>Describe what you see…</w:t>
            </w:r>
          </w:p>
          <w:p w14:paraId="192EB929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11" w:name="ID148"/>
            <w:bookmarkEnd w:id="11"/>
            <w:r w:rsidRPr="00615FD9">
              <w:rPr>
                <w:sz w:val="20"/>
                <w:szCs w:val="20"/>
              </w:rPr>
              <w:t>What is the name for…?</w:t>
            </w:r>
          </w:p>
          <w:p w14:paraId="308217B6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12" w:name="ID149"/>
            <w:bookmarkEnd w:id="12"/>
            <w:r w:rsidRPr="00615FD9">
              <w:rPr>
                <w:sz w:val="20"/>
                <w:szCs w:val="20"/>
              </w:rPr>
              <w:t>What is the best one…?</w:t>
            </w:r>
          </w:p>
          <w:p w14:paraId="09D47557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13" w:name="ID150"/>
            <w:bookmarkEnd w:id="13"/>
            <w:r w:rsidRPr="00615FD9">
              <w:rPr>
                <w:sz w:val="20"/>
                <w:szCs w:val="20"/>
              </w:rPr>
              <w:t>Where in the book would you find…?</w:t>
            </w:r>
          </w:p>
          <w:p w14:paraId="36A64460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14" w:name="ID151"/>
            <w:bookmarkEnd w:id="14"/>
            <w:r w:rsidRPr="00615FD9">
              <w:rPr>
                <w:sz w:val="20"/>
                <w:szCs w:val="20"/>
              </w:rPr>
              <w:t xml:space="preserve">What are the types of </w:t>
            </w:r>
            <w:proofErr w:type="gramStart"/>
            <w:r w:rsidRPr="00615FD9">
              <w:rPr>
                <w:sz w:val="20"/>
                <w:szCs w:val="20"/>
              </w:rPr>
              <w:t>graph</w:t>
            </w:r>
            <w:proofErr w:type="gramEnd"/>
            <w:r w:rsidRPr="00615FD9">
              <w:rPr>
                <w:sz w:val="20"/>
                <w:szCs w:val="20"/>
              </w:rPr>
              <w:t>…?</w:t>
            </w:r>
          </w:p>
          <w:p w14:paraId="2399F270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15" w:name="ID152"/>
            <w:bookmarkEnd w:id="15"/>
            <w:r w:rsidRPr="00615FD9">
              <w:rPr>
                <w:sz w:val="20"/>
                <w:szCs w:val="20"/>
              </w:rPr>
              <w:t>What are we looking for?</w:t>
            </w:r>
          </w:p>
          <w:p w14:paraId="63F68B2D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16" w:name="ID153"/>
            <w:bookmarkEnd w:id="16"/>
            <w:r w:rsidRPr="00615FD9">
              <w:rPr>
                <w:sz w:val="20"/>
                <w:szCs w:val="20"/>
              </w:rPr>
              <w:t>Where is this set?</w:t>
            </w:r>
          </w:p>
        </w:tc>
      </w:tr>
      <w:tr w:rsidR="000B6C1A" w:rsidRPr="00615FD9" w14:paraId="163A1067" w14:textId="77777777" w:rsidTr="004656A8">
        <w:tc>
          <w:tcPr>
            <w:tcW w:w="1560" w:type="dxa"/>
            <w:tcBorders>
              <w:bottom w:val="nil"/>
              <w:right w:val="nil"/>
            </w:tcBorders>
          </w:tcPr>
          <w:p w14:paraId="12EE1BD7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17" w:name="ID154"/>
            <w:bookmarkEnd w:id="17"/>
            <w:r w:rsidRPr="00615FD9">
              <w:rPr>
                <w:sz w:val="20"/>
                <w:szCs w:val="20"/>
              </w:rPr>
              <w:t>Comprehension</w:t>
            </w:r>
          </w:p>
        </w:tc>
        <w:tc>
          <w:tcPr>
            <w:tcW w:w="1417" w:type="dxa"/>
            <w:tcBorders>
              <w:bottom w:val="nil"/>
            </w:tcBorders>
          </w:tcPr>
          <w:p w14:paraId="53AECE96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</w:t>
            </w:r>
          </w:p>
        </w:tc>
        <w:tc>
          <w:tcPr>
            <w:tcW w:w="2552" w:type="dxa"/>
            <w:tcBorders>
              <w:bottom w:val="nil"/>
              <w:right w:val="nil"/>
            </w:tcBorders>
          </w:tcPr>
          <w:p w14:paraId="74383545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18" w:name="ID155"/>
            <w:bookmarkEnd w:id="18"/>
            <w:r w:rsidRPr="00615FD9">
              <w:rPr>
                <w:sz w:val="20"/>
                <w:szCs w:val="20"/>
              </w:rPr>
              <w:t>Explain Translate Illustrate Summarise Extend</w:t>
            </w:r>
          </w:p>
        </w:tc>
        <w:tc>
          <w:tcPr>
            <w:tcW w:w="2835" w:type="dxa"/>
            <w:tcBorders>
              <w:bottom w:val="nil"/>
              <w:right w:val="nil"/>
            </w:tcBorders>
          </w:tcPr>
          <w:p w14:paraId="2B607DAC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19" w:name="ID156"/>
            <w:bookmarkEnd w:id="19"/>
            <w:r w:rsidRPr="00615FD9">
              <w:rPr>
                <w:sz w:val="20"/>
                <w:szCs w:val="20"/>
              </w:rPr>
              <w:t>To help pupils to process their existing knowledge.</w:t>
            </w:r>
          </w:p>
        </w:tc>
        <w:tc>
          <w:tcPr>
            <w:tcW w:w="4110" w:type="dxa"/>
            <w:tcBorders>
              <w:bottom w:val="nil"/>
              <w:right w:val="nil"/>
            </w:tcBorders>
          </w:tcPr>
          <w:p w14:paraId="3DED34DD" w14:textId="55E64E27" w:rsidR="000B6C1A" w:rsidRPr="00615FD9" w:rsidRDefault="000B6C1A" w:rsidP="004656A8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20" w:name="ID157"/>
            <w:bookmarkEnd w:id="20"/>
            <w:r w:rsidRPr="00615FD9">
              <w:rPr>
                <w:sz w:val="20"/>
                <w:szCs w:val="20"/>
              </w:rPr>
              <w:t>Comprehension questions require pupils to process the knowledge they already have in order to answer the question. They demand a higher level of thinking and information</w:t>
            </w:r>
            <w:bookmarkStart w:id="21" w:name="ID158"/>
            <w:bookmarkEnd w:id="21"/>
            <w:r w:rsidR="004656A8">
              <w:rPr>
                <w:sz w:val="20"/>
                <w:szCs w:val="20"/>
              </w:rPr>
              <w:t xml:space="preserve"> </w:t>
            </w:r>
            <w:r w:rsidRPr="00615FD9">
              <w:rPr>
                <w:sz w:val="20"/>
                <w:szCs w:val="20"/>
              </w:rPr>
              <w:t>processing than do knowledge questions.</w:t>
            </w:r>
          </w:p>
        </w:tc>
        <w:tc>
          <w:tcPr>
            <w:tcW w:w="3828" w:type="dxa"/>
            <w:tcBorders>
              <w:bottom w:val="nil"/>
              <w:right w:val="nil"/>
            </w:tcBorders>
          </w:tcPr>
          <w:p w14:paraId="5011E4F7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22" w:name="ID159"/>
            <w:bookmarkEnd w:id="22"/>
            <w:r w:rsidRPr="00615FD9">
              <w:rPr>
                <w:sz w:val="20"/>
                <w:szCs w:val="20"/>
              </w:rPr>
              <w:t>How do you think…?</w:t>
            </w:r>
          </w:p>
          <w:p w14:paraId="5989BA09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23" w:name="ID160"/>
            <w:bookmarkEnd w:id="23"/>
            <w:r w:rsidRPr="00615FD9">
              <w:rPr>
                <w:sz w:val="20"/>
                <w:szCs w:val="20"/>
              </w:rPr>
              <w:t>Why do you think…?</w:t>
            </w:r>
          </w:p>
          <w:p w14:paraId="13B2D11A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24" w:name="ID161"/>
            <w:bookmarkEnd w:id="24"/>
            <w:r w:rsidRPr="00615FD9">
              <w:rPr>
                <w:sz w:val="20"/>
                <w:szCs w:val="20"/>
              </w:rPr>
              <w:t>What might this mean…?</w:t>
            </w:r>
          </w:p>
          <w:p w14:paraId="4E0C8027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25" w:name="ID162"/>
            <w:bookmarkEnd w:id="25"/>
            <w:r w:rsidRPr="00615FD9">
              <w:rPr>
                <w:sz w:val="20"/>
                <w:szCs w:val="20"/>
              </w:rPr>
              <w:t>Explain what a spreadsheet does…</w:t>
            </w:r>
          </w:p>
          <w:p w14:paraId="509D2A5D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26" w:name="ID163"/>
            <w:bookmarkEnd w:id="26"/>
            <w:r w:rsidRPr="00615FD9">
              <w:rPr>
                <w:sz w:val="20"/>
                <w:szCs w:val="20"/>
              </w:rPr>
              <w:t>What are the key features…?</w:t>
            </w:r>
          </w:p>
          <w:p w14:paraId="386F1597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27" w:name="ID164"/>
            <w:bookmarkEnd w:id="27"/>
            <w:r w:rsidRPr="00615FD9">
              <w:rPr>
                <w:sz w:val="20"/>
                <w:szCs w:val="20"/>
              </w:rPr>
              <w:t>Explain your model…</w:t>
            </w:r>
          </w:p>
          <w:p w14:paraId="189C1999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28" w:name="ID165"/>
            <w:bookmarkEnd w:id="28"/>
            <w:r w:rsidRPr="00615FD9">
              <w:rPr>
                <w:sz w:val="20"/>
                <w:szCs w:val="20"/>
              </w:rPr>
              <w:t>What is shown about…?</w:t>
            </w:r>
          </w:p>
          <w:p w14:paraId="378ED0F5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29" w:name="ID166"/>
            <w:bookmarkEnd w:id="29"/>
            <w:r w:rsidRPr="00615FD9">
              <w:rPr>
                <w:sz w:val="20"/>
                <w:szCs w:val="20"/>
              </w:rPr>
              <w:t>What happens when…?</w:t>
            </w:r>
          </w:p>
          <w:p w14:paraId="7CF320B1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30" w:name="ID167"/>
            <w:bookmarkEnd w:id="30"/>
            <w:r w:rsidRPr="00615FD9">
              <w:rPr>
                <w:sz w:val="20"/>
                <w:szCs w:val="20"/>
              </w:rPr>
              <w:t>What word represents…?</w:t>
            </w:r>
          </w:p>
        </w:tc>
      </w:tr>
      <w:tr w:rsidR="000B6C1A" w:rsidRPr="00615FD9" w14:paraId="5D62B937" w14:textId="77777777" w:rsidTr="004656A8">
        <w:tc>
          <w:tcPr>
            <w:tcW w:w="1560" w:type="dxa"/>
            <w:tcBorders>
              <w:bottom w:val="nil"/>
              <w:right w:val="nil"/>
            </w:tcBorders>
          </w:tcPr>
          <w:p w14:paraId="4C93FAB0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31" w:name="ID168"/>
            <w:bookmarkEnd w:id="31"/>
            <w:r w:rsidRPr="00615FD9">
              <w:rPr>
                <w:sz w:val="20"/>
                <w:szCs w:val="20"/>
              </w:rPr>
              <w:t>Application</w:t>
            </w:r>
          </w:p>
        </w:tc>
        <w:tc>
          <w:tcPr>
            <w:tcW w:w="1417" w:type="dxa"/>
            <w:tcBorders>
              <w:bottom w:val="nil"/>
            </w:tcBorders>
          </w:tcPr>
          <w:p w14:paraId="6404FF69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r w:rsidRPr="00615FD9">
              <w:rPr>
                <w:sz w:val="20"/>
                <w:szCs w:val="20"/>
              </w:rPr>
              <w:t>Apply</w:t>
            </w:r>
          </w:p>
        </w:tc>
        <w:tc>
          <w:tcPr>
            <w:tcW w:w="2552" w:type="dxa"/>
            <w:tcBorders>
              <w:bottom w:val="nil"/>
              <w:right w:val="nil"/>
            </w:tcBorders>
          </w:tcPr>
          <w:p w14:paraId="2EC7584E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32" w:name="ID169"/>
            <w:bookmarkEnd w:id="32"/>
            <w:r w:rsidRPr="00615FD9">
              <w:rPr>
                <w:sz w:val="20"/>
                <w:szCs w:val="20"/>
              </w:rPr>
              <w:t>Apply to a New context Demonstrate Predict Employ</w:t>
            </w:r>
          </w:p>
          <w:p w14:paraId="30937729" w14:textId="77777777" w:rsidR="000B6C1A" w:rsidRPr="00615FD9" w:rsidRDefault="000B6C1A" w:rsidP="004656A8">
            <w:pPr>
              <w:pStyle w:val="BodyTextIndent"/>
              <w:ind w:left="0"/>
              <w:rPr>
                <w:sz w:val="20"/>
                <w:szCs w:val="20"/>
              </w:rPr>
            </w:pPr>
            <w:bookmarkStart w:id="33" w:name="ID170"/>
            <w:bookmarkEnd w:id="33"/>
            <w:r w:rsidRPr="00615FD9">
              <w:rPr>
                <w:sz w:val="20"/>
                <w:szCs w:val="20"/>
              </w:rPr>
              <w:t>Solve</w:t>
            </w:r>
            <w:bookmarkStart w:id="34" w:name="ID171"/>
            <w:bookmarkEnd w:id="34"/>
            <w:r>
              <w:rPr>
                <w:sz w:val="20"/>
                <w:szCs w:val="20"/>
              </w:rPr>
              <w:t xml:space="preserve"> </w:t>
            </w:r>
            <w:r w:rsidRPr="00615FD9">
              <w:rPr>
                <w:sz w:val="20"/>
                <w:szCs w:val="20"/>
              </w:rPr>
              <w:t>Use</w:t>
            </w:r>
          </w:p>
        </w:tc>
        <w:tc>
          <w:tcPr>
            <w:tcW w:w="2835" w:type="dxa"/>
            <w:tcBorders>
              <w:bottom w:val="nil"/>
              <w:right w:val="nil"/>
            </w:tcBorders>
          </w:tcPr>
          <w:p w14:paraId="244F3D08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35" w:name="ID172"/>
            <w:bookmarkEnd w:id="35"/>
            <w:r w:rsidRPr="00615FD9">
              <w:rPr>
                <w:sz w:val="20"/>
                <w:szCs w:val="20"/>
              </w:rPr>
              <w:t>To help pupils use their knowledge to solve a new problem or apply it to a new situation.</w:t>
            </w:r>
          </w:p>
        </w:tc>
        <w:tc>
          <w:tcPr>
            <w:tcW w:w="4110" w:type="dxa"/>
            <w:tcBorders>
              <w:bottom w:val="nil"/>
              <w:right w:val="nil"/>
            </w:tcBorders>
          </w:tcPr>
          <w:p w14:paraId="0EE52D48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36" w:name="ID173"/>
            <w:bookmarkEnd w:id="36"/>
            <w:r w:rsidRPr="00615FD9">
              <w:rPr>
                <w:sz w:val="20"/>
                <w:szCs w:val="20"/>
              </w:rPr>
              <w:t xml:space="preserve">Questions in this area require pupils to use their existing knowledge and understanding to solve a new problem or to make sense of a new context. They demand more complex thinking. Pupils are more likely to be able to apply knowledge to a </w:t>
            </w:r>
            <w:r w:rsidRPr="00615FD9">
              <w:rPr>
                <w:sz w:val="20"/>
                <w:szCs w:val="20"/>
              </w:rPr>
              <w:lastRenderedPageBreak/>
              <w:t>new context if it is not too far removed from the context with which they are familiar.</w:t>
            </w:r>
          </w:p>
        </w:tc>
        <w:tc>
          <w:tcPr>
            <w:tcW w:w="3828" w:type="dxa"/>
            <w:tcBorders>
              <w:bottom w:val="nil"/>
              <w:right w:val="nil"/>
            </w:tcBorders>
          </w:tcPr>
          <w:p w14:paraId="0906E0AD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37" w:name="ID174"/>
            <w:bookmarkEnd w:id="37"/>
            <w:r w:rsidRPr="00615FD9">
              <w:rPr>
                <w:sz w:val="20"/>
                <w:szCs w:val="20"/>
              </w:rPr>
              <w:lastRenderedPageBreak/>
              <w:t>What shape of graph are you expecting?</w:t>
            </w:r>
          </w:p>
          <w:p w14:paraId="67E60531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38" w:name="ID175"/>
            <w:bookmarkEnd w:id="38"/>
            <w:r w:rsidRPr="00615FD9">
              <w:rPr>
                <w:sz w:val="20"/>
                <w:szCs w:val="20"/>
              </w:rPr>
              <w:t>What do you think will happen?... Why?</w:t>
            </w:r>
          </w:p>
          <w:p w14:paraId="7E62196A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39" w:name="ID176"/>
            <w:bookmarkEnd w:id="39"/>
            <w:r w:rsidRPr="00615FD9">
              <w:rPr>
                <w:sz w:val="20"/>
                <w:szCs w:val="20"/>
              </w:rPr>
              <w:t>Where else might this be</w:t>
            </w:r>
            <w:bookmarkStart w:id="40" w:name="ID177"/>
            <w:bookmarkEnd w:id="40"/>
            <w:r>
              <w:rPr>
                <w:sz w:val="20"/>
                <w:szCs w:val="20"/>
              </w:rPr>
              <w:t xml:space="preserve"> </w:t>
            </w:r>
            <w:r w:rsidRPr="00615FD9">
              <w:rPr>
                <w:sz w:val="20"/>
                <w:szCs w:val="20"/>
              </w:rPr>
              <w:t>useful?</w:t>
            </w:r>
          </w:p>
          <w:p w14:paraId="1475F7F0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41" w:name="ID178"/>
            <w:bookmarkEnd w:id="41"/>
            <w:r w:rsidRPr="00615FD9">
              <w:rPr>
                <w:sz w:val="20"/>
                <w:szCs w:val="20"/>
              </w:rPr>
              <w:t>How can you use a spreadsheet to...?</w:t>
            </w:r>
          </w:p>
          <w:p w14:paraId="0CB57268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42" w:name="ID179"/>
            <w:bookmarkEnd w:id="42"/>
            <w:r w:rsidRPr="00615FD9">
              <w:rPr>
                <w:sz w:val="20"/>
                <w:szCs w:val="20"/>
              </w:rPr>
              <w:lastRenderedPageBreak/>
              <w:t>Can you apply what you now know to solve...?</w:t>
            </w:r>
          </w:p>
          <w:p w14:paraId="27F2A672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43" w:name="ID180"/>
            <w:bookmarkEnd w:id="43"/>
            <w:r w:rsidRPr="00615FD9">
              <w:rPr>
                <w:sz w:val="20"/>
                <w:szCs w:val="20"/>
              </w:rPr>
              <w:t>What does this suggest to you?</w:t>
            </w:r>
          </w:p>
          <w:p w14:paraId="22E832C4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44" w:name="ID181"/>
            <w:bookmarkEnd w:id="44"/>
            <w:r w:rsidRPr="00615FD9">
              <w:rPr>
                <w:sz w:val="20"/>
                <w:szCs w:val="20"/>
              </w:rPr>
              <w:t>How does the writer do this?</w:t>
            </w:r>
          </w:p>
          <w:p w14:paraId="40F04A64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45" w:name="ID182"/>
            <w:bookmarkEnd w:id="45"/>
            <w:r w:rsidRPr="00615FD9">
              <w:rPr>
                <w:sz w:val="20"/>
                <w:szCs w:val="20"/>
              </w:rPr>
              <w:t>What would the next line of my modelled answer be?</w:t>
            </w:r>
          </w:p>
        </w:tc>
      </w:tr>
      <w:tr w:rsidR="000B6C1A" w:rsidRPr="00615FD9" w14:paraId="2C92027B" w14:textId="77777777" w:rsidTr="004656A8">
        <w:tc>
          <w:tcPr>
            <w:tcW w:w="1560" w:type="dxa"/>
            <w:tcBorders>
              <w:bottom w:val="nil"/>
              <w:right w:val="nil"/>
            </w:tcBorders>
          </w:tcPr>
          <w:p w14:paraId="2F68597C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46" w:name="ID183"/>
            <w:bookmarkEnd w:id="46"/>
            <w:r w:rsidRPr="00615FD9">
              <w:rPr>
                <w:sz w:val="20"/>
                <w:szCs w:val="20"/>
              </w:rPr>
              <w:lastRenderedPageBreak/>
              <w:t>Analysis</w:t>
            </w:r>
          </w:p>
        </w:tc>
        <w:tc>
          <w:tcPr>
            <w:tcW w:w="1417" w:type="dxa"/>
            <w:tcBorders>
              <w:bottom w:val="nil"/>
            </w:tcBorders>
          </w:tcPr>
          <w:p w14:paraId="513DB01B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</w:tc>
        <w:tc>
          <w:tcPr>
            <w:tcW w:w="2552" w:type="dxa"/>
            <w:tcBorders>
              <w:bottom w:val="nil"/>
              <w:right w:val="nil"/>
            </w:tcBorders>
          </w:tcPr>
          <w:p w14:paraId="4699CF47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47" w:name="ID184"/>
            <w:bookmarkEnd w:id="47"/>
            <w:r w:rsidRPr="00615FD9">
              <w:rPr>
                <w:sz w:val="20"/>
                <w:szCs w:val="20"/>
              </w:rPr>
              <w:t>Analyse Infer Relate Support Break down Differentiate Explore</w:t>
            </w:r>
          </w:p>
        </w:tc>
        <w:tc>
          <w:tcPr>
            <w:tcW w:w="2835" w:type="dxa"/>
            <w:tcBorders>
              <w:bottom w:val="nil"/>
              <w:right w:val="nil"/>
            </w:tcBorders>
          </w:tcPr>
          <w:p w14:paraId="15B1BDF9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48" w:name="ID185"/>
            <w:bookmarkEnd w:id="48"/>
            <w:r w:rsidRPr="00615FD9">
              <w:rPr>
                <w:sz w:val="20"/>
                <w:szCs w:val="20"/>
              </w:rPr>
              <w:t>To help pupils use the process of enquiry to break down what they know and reassemble it.</w:t>
            </w:r>
          </w:p>
        </w:tc>
        <w:tc>
          <w:tcPr>
            <w:tcW w:w="4110" w:type="dxa"/>
            <w:tcBorders>
              <w:bottom w:val="nil"/>
              <w:right w:val="nil"/>
            </w:tcBorders>
          </w:tcPr>
          <w:p w14:paraId="5ED1B180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49" w:name="ID186"/>
            <w:bookmarkEnd w:id="49"/>
            <w:r w:rsidRPr="00615FD9">
              <w:rPr>
                <w:sz w:val="20"/>
                <w:szCs w:val="20"/>
              </w:rPr>
              <w:t>Analysis questions require pupils to break down what they know and reassemble it to help them solve a problem. These questions are linked to more abstract, conceptual thought that is central to the process of enquiry.</w:t>
            </w:r>
          </w:p>
        </w:tc>
        <w:tc>
          <w:tcPr>
            <w:tcW w:w="3828" w:type="dxa"/>
            <w:tcBorders>
              <w:bottom w:val="nil"/>
              <w:right w:val="nil"/>
            </w:tcBorders>
          </w:tcPr>
          <w:p w14:paraId="2D93769C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50" w:name="ID187"/>
            <w:bookmarkEnd w:id="50"/>
            <w:r w:rsidRPr="00615FD9">
              <w:rPr>
                <w:sz w:val="20"/>
                <w:szCs w:val="20"/>
              </w:rPr>
              <w:t>Separate... (for example, fact from opinion)</w:t>
            </w:r>
          </w:p>
          <w:p w14:paraId="0D3A02DC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51" w:name="ID188"/>
            <w:bookmarkEnd w:id="51"/>
            <w:r w:rsidRPr="00615FD9">
              <w:rPr>
                <w:sz w:val="20"/>
                <w:szCs w:val="20"/>
              </w:rPr>
              <w:t>What is the function of...?</w:t>
            </w:r>
          </w:p>
          <w:p w14:paraId="058C70A4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52" w:name="ID189"/>
            <w:bookmarkEnd w:id="52"/>
            <w:r w:rsidRPr="00615FD9">
              <w:rPr>
                <w:sz w:val="20"/>
                <w:szCs w:val="20"/>
              </w:rPr>
              <w:t>What assumptions are being made...?</w:t>
            </w:r>
          </w:p>
          <w:p w14:paraId="77C9F853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53" w:name="ID190"/>
            <w:bookmarkEnd w:id="53"/>
            <w:r w:rsidRPr="00615FD9">
              <w:rPr>
                <w:sz w:val="20"/>
                <w:szCs w:val="20"/>
              </w:rPr>
              <w:t>What is the evidence...?</w:t>
            </w:r>
          </w:p>
          <w:p w14:paraId="1A488390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54" w:name="ID191"/>
            <w:bookmarkEnd w:id="54"/>
            <w:r w:rsidRPr="00615FD9">
              <w:rPr>
                <w:sz w:val="20"/>
                <w:szCs w:val="20"/>
              </w:rPr>
              <w:t>State the point of view...</w:t>
            </w:r>
          </w:p>
          <w:p w14:paraId="6AEBE514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55" w:name="ID192"/>
            <w:bookmarkEnd w:id="55"/>
            <w:r w:rsidRPr="00615FD9">
              <w:rPr>
                <w:sz w:val="20"/>
                <w:szCs w:val="20"/>
              </w:rPr>
              <w:t>Make a distinction...</w:t>
            </w:r>
          </w:p>
          <w:p w14:paraId="76C03230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56" w:name="ID193"/>
            <w:bookmarkEnd w:id="56"/>
            <w:r w:rsidRPr="00615FD9">
              <w:rPr>
                <w:sz w:val="20"/>
                <w:szCs w:val="20"/>
              </w:rPr>
              <w:t>What is this really saying?</w:t>
            </w:r>
          </w:p>
          <w:p w14:paraId="46525A4B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57" w:name="ID194"/>
            <w:bookmarkEnd w:id="57"/>
            <w:r w:rsidRPr="00615FD9">
              <w:rPr>
                <w:sz w:val="20"/>
                <w:szCs w:val="20"/>
              </w:rPr>
              <w:t>What does this symbolise?</w:t>
            </w:r>
          </w:p>
          <w:p w14:paraId="605EB6A7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58" w:name="ID195"/>
            <w:bookmarkEnd w:id="58"/>
            <w:r w:rsidRPr="00615FD9">
              <w:rPr>
                <w:sz w:val="20"/>
                <w:szCs w:val="20"/>
              </w:rPr>
              <w:t>So, what is the poet saying to us?</w:t>
            </w:r>
          </w:p>
        </w:tc>
      </w:tr>
      <w:tr w:rsidR="000B6C1A" w:rsidRPr="00615FD9" w14:paraId="22B74EE9" w14:textId="77777777" w:rsidTr="004656A8">
        <w:tc>
          <w:tcPr>
            <w:tcW w:w="1560" w:type="dxa"/>
            <w:tcBorders>
              <w:bottom w:val="nil"/>
              <w:right w:val="nil"/>
            </w:tcBorders>
          </w:tcPr>
          <w:p w14:paraId="7875EC0A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59" w:name="ID196"/>
            <w:bookmarkEnd w:id="59"/>
            <w:r w:rsidRPr="00615FD9">
              <w:rPr>
                <w:sz w:val="20"/>
                <w:szCs w:val="20"/>
              </w:rPr>
              <w:t>Synthesis</w:t>
            </w:r>
          </w:p>
        </w:tc>
        <w:tc>
          <w:tcPr>
            <w:tcW w:w="1417" w:type="dxa"/>
            <w:tcBorders>
              <w:bottom w:val="nil"/>
            </w:tcBorders>
          </w:tcPr>
          <w:p w14:paraId="5EED4726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Evaluate</w:t>
            </w:r>
          </w:p>
        </w:tc>
        <w:tc>
          <w:tcPr>
            <w:tcW w:w="2552" w:type="dxa"/>
            <w:tcBorders>
              <w:bottom w:val="nil"/>
              <w:right w:val="nil"/>
            </w:tcBorders>
          </w:tcPr>
          <w:p w14:paraId="4FCF5EE3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60" w:name="ID197"/>
            <w:bookmarkEnd w:id="60"/>
            <w:r w:rsidRPr="00615FD9">
              <w:rPr>
                <w:sz w:val="20"/>
                <w:szCs w:val="20"/>
              </w:rPr>
              <w:t>Design Create Compose Reorganise Combine</w:t>
            </w:r>
          </w:p>
        </w:tc>
        <w:tc>
          <w:tcPr>
            <w:tcW w:w="2835" w:type="dxa"/>
            <w:tcBorders>
              <w:bottom w:val="nil"/>
              <w:right w:val="nil"/>
            </w:tcBorders>
          </w:tcPr>
          <w:p w14:paraId="6177FB63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61" w:name="ID198"/>
            <w:bookmarkEnd w:id="61"/>
            <w:r w:rsidRPr="00615FD9">
              <w:rPr>
                <w:sz w:val="20"/>
                <w:szCs w:val="20"/>
              </w:rPr>
              <w:t>To help pupils combine and select from available knowledge in order to respond to unfamiliar situations.</w:t>
            </w:r>
          </w:p>
        </w:tc>
        <w:tc>
          <w:tcPr>
            <w:tcW w:w="4110" w:type="dxa"/>
            <w:tcBorders>
              <w:bottom w:val="nil"/>
              <w:right w:val="nil"/>
            </w:tcBorders>
          </w:tcPr>
          <w:p w14:paraId="52F3E566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62" w:name="ID199"/>
            <w:bookmarkEnd w:id="62"/>
            <w:r w:rsidRPr="00615FD9">
              <w:rPr>
                <w:sz w:val="20"/>
                <w:szCs w:val="20"/>
              </w:rPr>
              <w:t>Synthesis questions demand that pupils combine and select from available knowledge to respond to unfamiliar situations or solve new problems. There is likely to be a great diversity of responses.</w:t>
            </w:r>
          </w:p>
        </w:tc>
        <w:tc>
          <w:tcPr>
            <w:tcW w:w="3828" w:type="dxa"/>
            <w:tcBorders>
              <w:bottom w:val="nil"/>
              <w:right w:val="nil"/>
            </w:tcBorders>
          </w:tcPr>
          <w:p w14:paraId="71B44B20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63" w:name="ID200"/>
            <w:bookmarkEnd w:id="63"/>
            <w:r w:rsidRPr="00615FD9">
              <w:rPr>
                <w:sz w:val="20"/>
                <w:szCs w:val="20"/>
              </w:rPr>
              <w:t>Propose an alternative...</w:t>
            </w:r>
          </w:p>
          <w:p w14:paraId="2CB2F8FF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64" w:name="ID201"/>
            <w:bookmarkEnd w:id="64"/>
            <w:r w:rsidRPr="00615FD9">
              <w:rPr>
                <w:sz w:val="20"/>
                <w:szCs w:val="20"/>
              </w:rPr>
              <w:t>What conclusion can you draw...?</w:t>
            </w:r>
          </w:p>
          <w:p w14:paraId="6907178A" w14:textId="77777777" w:rsidR="000B6C1A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65" w:name="ID202"/>
            <w:bookmarkEnd w:id="65"/>
            <w:r w:rsidRPr="00615FD9">
              <w:rPr>
                <w:sz w:val="20"/>
                <w:szCs w:val="20"/>
              </w:rPr>
              <w:t xml:space="preserve">How else would you...? </w:t>
            </w:r>
            <w:r>
              <w:rPr>
                <w:sz w:val="20"/>
                <w:szCs w:val="20"/>
              </w:rPr>
              <w:t xml:space="preserve">            </w:t>
            </w:r>
          </w:p>
          <w:p w14:paraId="501EFF38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r w:rsidRPr="00615FD9">
              <w:rPr>
                <w:sz w:val="20"/>
                <w:szCs w:val="20"/>
              </w:rPr>
              <w:t>State a rule...</w:t>
            </w:r>
          </w:p>
          <w:p w14:paraId="5031EB5F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66" w:name="ID203"/>
            <w:bookmarkEnd w:id="66"/>
            <w:r w:rsidRPr="00615FD9">
              <w:rPr>
                <w:sz w:val="20"/>
                <w:szCs w:val="20"/>
              </w:rPr>
              <w:t>How do the writers differ in their response to...?</w:t>
            </w:r>
          </w:p>
          <w:p w14:paraId="261F8829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67" w:name="ID204"/>
            <w:bookmarkEnd w:id="67"/>
            <w:r w:rsidRPr="00615FD9">
              <w:rPr>
                <w:sz w:val="20"/>
                <w:szCs w:val="20"/>
              </w:rPr>
              <w:t>What happens at the beginning of the poem and how does it change?</w:t>
            </w:r>
          </w:p>
        </w:tc>
      </w:tr>
      <w:tr w:rsidR="000B6C1A" w:rsidRPr="00615FD9" w14:paraId="113CAD93" w14:textId="77777777" w:rsidTr="004656A8">
        <w:tc>
          <w:tcPr>
            <w:tcW w:w="1560" w:type="dxa"/>
            <w:tcBorders>
              <w:bottom w:val="single" w:sz="6" w:space="0" w:color="auto"/>
              <w:right w:val="nil"/>
            </w:tcBorders>
          </w:tcPr>
          <w:p w14:paraId="6D5AF518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68" w:name="ID205"/>
            <w:bookmarkEnd w:id="68"/>
            <w:r w:rsidRPr="00615FD9">
              <w:rPr>
                <w:sz w:val="20"/>
                <w:szCs w:val="20"/>
              </w:rPr>
              <w:lastRenderedPageBreak/>
              <w:t>Evaluation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14:paraId="55797940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</w:t>
            </w:r>
          </w:p>
        </w:tc>
        <w:tc>
          <w:tcPr>
            <w:tcW w:w="2552" w:type="dxa"/>
            <w:tcBorders>
              <w:bottom w:val="single" w:sz="6" w:space="0" w:color="auto"/>
              <w:right w:val="nil"/>
            </w:tcBorders>
          </w:tcPr>
          <w:p w14:paraId="302D7CDE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69" w:name="ID206"/>
            <w:bookmarkEnd w:id="69"/>
            <w:r w:rsidRPr="00615FD9">
              <w:rPr>
                <w:sz w:val="20"/>
                <w:szCs w:val="20"/>
              </w:rPr>
              <w:t>Assess Evaluate Appraise Defend Justify</w:t>
            </w:r>
          </w:p>
        </w:tc>
        <w:tc>
          <w:tcPr>
            <w:tcW w:w="2835" w:type="dxa"/>
            <w:tcBorders>
              <w:bottom w:val="single" w:sz="6" w:space="0" w:color="auto"/>
              <w:right w:val="nil"/>
            </w:tcBorders>
          </w:tcPr>
          <w:p w14:paraId="5C1C2AB6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70" w:name="ID207"/>
            <w:bookmarkEnd w:id="70"/>
            <w:r w:rsidRPr="00615FD9">
              <w:rPr>
                <w:sz w:val="20"/>
                <w:szCs w:val="20"/>
              </w:rPr>
              <w:t>To help pupils compare and contrast knowledge gained from different perspectives as they construct and reflect upon their own viewpoints.</w:t>
            </w:r>
          </w:p>
        </w:tc>
        <w:tc>
          <w:tcPr>
            <w:tcW w:w="4110" w:type="dxa"/>
            <w:tcBorders>
              <w:bottom w:val="single" w:sz="6" w:space="0" w:color="auto"/>
              <w:right w:val="nil"/>
            </w:tcBorders>
          </w:tcPr>
          <w:p w14:paraId="3F9F6EB2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71" w:name="ID208"/>
            <w:bookmarkEnd w:id="71"/>
            <w:r w:rsidRPr="00615FD9">
              <w:rPr>
                <w:sz w:val="20"/>
                <w:szCs w:val="20"/>
              </w:rPr>
              <w:t>Evaluation questions expect pupils to use their knowledge to form judgements and defend the positions they take up. They demand complex thinking and reasoning.</w:t>
            </w:r>
          </w:p>
        </w:tc>
        <w:tc>
          <w:tcPr>
            <w:tcW w:w="3828" w:type="dxa"/>
            <w:tcBorders>
              <w:bottom w:val="single" w:sz="6" w:space="0" w:color="auto"/>
              <w:right w:val="nil"/>
            </w:tcBorders>
          </w:tcPr>
          <w:p w14:paraId="62666FB0" w14:textId="77777777" w:rsidR="000B6C1A" w:rsidRPr="00615FD9" w:rsidRDefault="000B6C1A" w:rsidP="00CB2A25">
            <w:pPr>
              <w:pStyle w:val="BodyText"/>
              <w:spacing w:line="240" w:lineRule="auto"/>
              <w:jc w:val="left"/>
              <w:rPr>
                <w:sz w:val="20"/>
                <w:szCs w:val="20"/>
              </w:rPr>
            </w:pPr>
            <w:bookmarkStart w:id="72" w:name="ID209"/>
            <w:bookmarkEnd w:id="72"/>
            <w:r w:rsidRPr="00615FD9">
              <w:rPr>
                <w:sz w:val="20"/>
                <w:szCs w:val="20"/>
              </w:rPr>
              <w:t>Which is more important/moral/logical...?</w:t>
            </w:r>
          </w:p>
          <w:p w14:paraId="0ED7A8A7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73" w:name="ID210"/>
            <w:bookmarkEnd w:id="73"/>
            <w:r w:rsidRPr="00615FD9">
              <w:rPr>
                <w:sz w:val="20"/>
                <w:szCs w:val="20"/>
              </w:rPr>
              <w:t xml:space="preserve">What inconsistencies are </w:t>
            </w:r>
            <w:proofErr w:type="gramStart"/>
            <w:r w:rsidRPr="00615FD9">
              <w:rPr>
                <w:sz w:val="20"/>
                <w:szCs w:val="20"/>
              </w:rPr>
              <w:t>there</w:t>
            </w:r>
            <w:proofErr w:type="gramEnd"/>
            <w:r w:rsidRPr="00615FD9">
              <w:rPr>
                <w:sz w:val="20"/>
                <w:szCs w:val="20"/>
              </w:rPr>
              <w:t xml:space="preserve"> in...?</w:t>
            </w:r>
          </w:p>
          <w:p w14:paraId="026DCFDC" w14:textId="77777777" w:rsidR="000B6C1A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74" w:name="ID211"/>
            <w:bookmarkEnd w:id="74"/>
            <w:r w:rsidRPr="00615FD9">
              <w:rPr>
                <w:sz w:val="20"/>
                <w:szCs w:val="20"/>
              </w:rPr>
              <w:t xml:space="preserve">What errors are there...? </w:t>
            </w:r>
          </w:p>
          <w:p w14:paraId="49CBDF72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r w:rsidRPr="00615FD9">
              <w:rPr>
                <w:sz w:val="20"/>
                <w:szCs w:val="20"/>
              </w:rPr>
              <w:t>Why is... valid?</w:t>
            </w:r>
          </w:p>
          <w:p w14:paraId="2D47FEEB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75" w:name="ID212"/>
            <w:bookmarkEnd w:id="75"/>
            <w:r w:rsidRPr="00615FD9">
              <w:rPr>
                <w:sz w:val="20"/>
                <w:szCs w:val="20"/>
              </w:rPr>
              <w:t>How can you defend...?</w:t>
            </w:r>
          </w:p>
          <w:p w14:paraId="3E0B5A6F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76" w:name="ID213"/>
            <w:bookmarkEnd w:id="76"/>
            <w:r w:rsidRPr="00615FD9">
              <w:rPr>
                <w:sz w:val="20"/>
                <w:szCs w:val="20"/>
              </w:rPr>
              <w:t>Why is the order important?</w:t>
            </w:r>
          </w:p>
          <w:p w14:paraId="54991EBA" w14:textId="77777777" w:rsidR="000B6C1A" w:rsidRPr="00615FD9" w:rsidRDefault="000B6C1A" w:rsidP="00CB2A25">
            <w:pPr>
              <w:pStyle w:val="BodyTextIndent"/>
              <w:rPr>
                <w:sz w:val="20"/>
                <w:szCs w:val="20"/>
              </w:rPr>
            </w:pPr>
            <w:bookmarkStart w:id="77" w:name="ID214"/>
            <w:bookmarkEnd w:id="77"/>
            <w:r w:rsidRPr="00615FD9">
              <w:rPr>
                <w:sz w:val="20"/>
                <w:szCs w:val="20"/>
              </w:rPr>
              <w:t>Why does it change?</w:t>
            </w:r>
          </w:p>
        </w:tc>
      </w:tr>
    </w:tbl>
    <w:p w14:paraId="5FDB985F" w14:textId="77777777" w:rsidR="000B6C1A" w:rsidRDefault="000B6C1A" w:rsidP="000B6C1A">
      <w:pPr>
        <w:pStyle w:val="TableCaption"/>
        <w:spacing w:before="0" w:after="0" w:line="360" w:lineRule="auto"/>
        <w:jc w:val="left"/>
      </w:pPr>
      <w:bookmarkStart w:id="78" w:name="ID215"/>
      <w:bookmarkEnd w:id="78"/>
      <w:r>
        <w:tab/>
      </w:r>
    </w:p>
    <w:p w14:paraId="067168A8" w14:textId="77777777" w:rsidR="000B6C1A" w:rsidRDefault="000B6C1A" w:rsidP="000B6C1A">
      <w:pPr>
        <w:pStyle w:val="TableSource"/>
        <w:spacing w:before="0" w:after="0" w:line="360" w:lineRule="auto"/>
      </w:pPr>
      <w:bookmarkStart w:id="79" w:name="ID216"/>
      <w:bookmarkStart w:id="80" w:name="ID217"/>
      <w:bookmarkEnd w:id="79"/>
      <w:bookmarkEnd w:id="80"/>
      <w:r>
        <w:rPr>
          <w:i/>
          <w:iCs/>
        </w:rPr>
        <w:t>Source</w:t>
      </w:r>
      <w:r>
        <w:t>: Adapted from DfES (2004b, pp. 13–14)</w:t>
      </w:r>
    </w:p>
    <w:p w14:paraId="58D3F225" w14:textId="77777777" w:rsidR="000B6C1A" w:rsidRDefault="000B6C1A" w:rsidP="00E45FFA">
      <w:pPr>
        <w:pStyle w:val="TableSource"/>
        <w:spacing w:before="0" w:after="0" w:line="360" w:lineRule="auto"/>
      </w:pPr>
    </w:p>
    <w:p w14:paraId="3406FD53" w14:textId="77777777" w:rsidR="0080639E" w:rsidRPr="00497D4C" w:rsidRDefault="0080639E" w:rsidP="0080639E">
      <w:pPr>
        <w:ind w:left="426" w:hanging="426"/>
        <w:rPr>
          <w:i/>
          <w:iCs/>
          <w:color w:val="000000" w:themeColor="text1"/>
          <w:lang w:val="en-US"/>
        </w:rPr>
      </w:pPr>
      <w:r w:rsidRPr="00497D4C">
        <w:rPr>
          <w:color w:val="000000" w:themeColor="text1"/>
          <w:lang w:val="en-US"/>
        </w:rPr>
        <w:t xml:space="preserve">Anderson, L. and Krathwohl, D.A. (2001) </w:t>
      </w:r>
      <w:r w:rsidRPr="00497D4C">
        <w:rPr>
          <w:i/>
          <w:iCs/>
          <w:color w:val="000000" w:themeColor="text1"/>
          <w:lang w:val="en-US"/>
        </w:rPr>
        <w:t xml:space="preserve">Taxonomy for Learning, Teaching and </w:t>
      </w:r>
      <w:r w:rsidRPr="00497D4C">
        <w:rPr>
          <w:i/>
          <w:iCs/>
        </w:rPr>
        <w:t xml:space="preserve"> </w:t>
      </w:r>
    </w:p>
    <w:p w14:paraId="0B313518" w14:textId="77777777" w:rsidR="0080639E" w:rsidRPr="00497D4C" w:rsidRDefault="0080639E" w:rsidP="0080639E">
      <w:pPr>
        <w:ind w:left="426" w:hanging="426"/>
        <w:rPr>
          <w:color w:val="000000" w:themeColor="text1"/>
          <w:lang w:val="en-US"/>
        </w:rPr>
      </w:pPr>
      <w:r w:rsidRPr="00497D4C">
        <w:rPr>
          <w:i/>
          <w:iCs/>
          <w:color w:val="000000" w:themeColor="text1"/>
          <w:lang w:val="en-US"/>
        </w:rPr>
        <w:t xml:space="preserve">      Assessing: A Revision of Bloom's Taxonomy of Educational Objectives</w:t>
      </w:r>
      <w:r w:rsidRPr="00497D4C">
        <w:rPr>
          <w:color w:val="000000" w:themeColor="text1"/>
          <w:lang w:val="en-US"/>
        </w:rPr>
        <w:t>, New York:</w:t>
      </w:r>
    </w:p>
    <w:p w14:paraId="0D73F191" w14:textId="79CE8852" w:rsidR="0080639E" w:rsidRDefault="0080639E" w:rsidP="0080639E">
      <w:pPr>
        <w:pStyle w:val="TableSource"/>
        <w:spacing w:before="0" w:after="0" w:line="360" w:lineRule="auto"/>
        <w:ind w:left="426" w:hanging="426"/>
      </w:pPr>
      <w:r w:rsidRPr="00497D4C">
        <w:t xml:space="preserve">   </w:t>
      </w:r>
      <w:r w:rsidRPr="00497D4C">
        <w:rPr>
          <w:color w:val="000000" w:themeColor="text1"/>
          <w:lang w:val="en-US"/>
        </w:rPr>
        <w:t xml:space="preserve">   Longman.</w:t>
      </w:r>
    </w:p>
    <w:p w14:paraId="69B66E7E" w14:textId="6A70C662" w:rsidR="00C01C6D" w:rsidRDefault="0080639E" w:rsidP="0080639E">
      <w:pPr>
        <w:ind w:left="426" w:hanging="426"/>
      </w:pPr>
      <w:r w:rsidRPr="0080639E">
        <w:t>Bloom, B.S., Engelhart, M.D., Furst, E.J., Hill, W.H. and Krathwohl, D.R. (eds) (1956)</w:t>
      </w:r>
      <w:r w:rsidRPr="0080639E">
        <w:rPr>
          <w:i/>
          <w:iCs/>
        </w:rPr>
        <w:t xml:space="preserve"> Taxonomy of</w:t>
      </w:r>
      <w:r>
        <w:rPr>
          <w:i/>
          <w:iCs/>
        </w:rPr>
        <w:t xml:space="preserve"> </w:t>
      </w:r>
      <w:r w:rsidRPr="0080639E">
        <w:rPr>
          <w:i/>
          <w:iCs/>
        </w:rPr>
        <w:t xml:space="preserve">Educational Objectives, Handbook I: Cognitive Domain, </w:t>
      </w:r>
      <w:r w:rsidRPr="0080639E">
        <w:t>New York: David McKay Co Inc.</w:t>
      </w:r>
    </w:p>
    <w:p w14:paraId="0AE562D6" w14:textId="77777777" w:rsidR="0080639E" w:rsidRDefault="0080639E" w:rsidP="0080639E">
      <w:pPr>
        <w:ind w:left="426" w:hanging="426"/>
      </w:pPr>
    </w:p>
    <w:p w14:paraId="0D77EFF2" w14:textId="77777777" w:rsidR="0080639E" w:rsidRPr="0064254B" w:rsidRDefault="0080639E" w:rsidP="0080639E">
      <w:pPr>
        <w:ind w:left="426" w:hanging="426"/>
        <w:rPr>
          <w:i/>
        </w:rPr>
      </w:pPr>
      <w:r>
        <w:t>Df</w:t>
      </w:r>
      <w:r w:rsidRPr="0064254B">
        <w:t xml:space="preserve">ES (Department for Education and Skills) (2004c) </w:t>
      </w:r>
      <w:r w:rsidRPr="0064254B">
        <w:rPr>
          <w:i/>
        </w:rPr>
        <w:t>Pedagogy and Practice: Teaching</w:t>
      </w:r>
    </w:p>
    <w:p w14:paraId="4D3CDC99" w14:textId="28654EDC" w:rsidR="0080639E" w:rsidRDefault="0080639E" w:rsidP="0080639E">
      <w:pPr>
        <w:pStyle w:val="TableSource"/>
        <w:spacing w:before="0" w:after="0" w:line="360" w:lineRule="auto"/>
        <w:ind w:left="426" w:hanging="426"/>
      </w:pPr>
      <w:r w:rsidRPr="0064254B">
        <w:rPr>
          <w:i/>
        </w:rPr>
        <w:t xml:space="preserve">     and Learning in the Secondary School, Unit 8 Explaining,</w:t>
      </w:r>
      <w:r w:rsidRPr="0064254B">
        <w:t xml:space="preserve"> London: DfES, viewed 24 July 2025,</w:t>
      </w:r>
      <w:r>
        <w:t xml:space="preserve"> </w:t>
      </w:r>
      <w:hyperlink r:id="rId9" w:history="1">
        <w:r w:rsidRPr="005A70C2">
          <w:rPr>
            <w:rStyle w:val="Hyperlink"/>
          </w:rPr>
          <w:t>http://webarchive.nationalarchives.gov.uk/20110813104232/http://nsonline.org.uk/node/174694?uc=force_uj</w:t>
        </w:r>
      </w:hyperlink>
    </w:p>
    <w:p w14:paraId="2715E17B" w14:textId="77777777" w:rsidR="0080639E" w:rsidRPr="0080639E" w:rsidRDefault="0080639E" w:rsidP="0080639E"/>
    <w:sectPr w:rsidR="0080639E" w:rsidRPr="0080639E" w:rsidSect="004656A8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440" w:right="1440" w:bottom="1440" w:left="144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59FB1" w14:textId="77777777" w:rsidR="004B0D45" w:rsidRDefault="004B0D45" w:rsidP="00722B49">
      <w:r>
        <w:separator/>
      </w:r>
    </w:p>
  </w:endnote>
  <w:endnote w:type="continuationSeparator" w:id="0">
    <w:p w14:paraId="490E2292" w14:textId="77777777" w:rsidR="004B0D45" w:rsidRDefault="004B0D45" w:rsidP="0072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2E4C1" w14:textId="73F5F2F5" w:rsidR="00722B49" w:rsidRDefault="00722B4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7690F3" wp14:editId="279C1B7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2132314259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BA16B" w14:textId="2A6C4F4E" w:rsidR="00722B49" w:rsidRPr="00722B49" w:rsidRDefault="00722B49" w:rsidP="00722B4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22B4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690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textbox style="mso-fit-shape-to-text:t" inset="20pt,0,0,15pt">
                <w:txbxContent>
                  <w:p w14:paraId="22FBA16B" w14:textId="2A6C4F4E" w:rsidR="00722B49" w:rsidRPr="00722B49" w:rsidRDefault="00722B49" w:rsidP="00722B4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22B4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68155" w14:textId="098E5B0F" w:rsidR="00722B49" w:rsidRDefault="00722B4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480483" wp14:editId="26B3AA9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311708394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363C3A" w14:textId="69B14274" w:rsidR="00722B49" w:rsidRPr="00722B49" w:rsidRDefault="00722B49" w:rsidP="00722B4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22B4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8048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textbox style="mso-fit-shape-to-text:t" inset="20pt,0,0,15pt">
                <w:txbxContent>
                  <w:p w14:paraId="06363C3A" w14:textId="69B14274" w:rsidR="00722B49" w:rsidRPr="00722B49" w:rsidRDefault="00722B49" w:rsidP="00722B4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22B4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896FF" w14:textId="6E5D2ED8" w:rsidR="00722B49" w:rsidRDefault="00722B4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DAFE45" wp14:editId="180545C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51219068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3D567B" w14:textId="7D2B9787" w:rsidR="00722B49" w:rsidRPr="00722B49" w:rsidRDefault="00722B49" w:rsidP="00722B4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22B4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A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textbox style="mso-fit-shape-to-text:t" inset="20pt,0,0,15pt">
                <w:txbxContent>
                  <w:p w14:paraId="653D567B" w14:textId="7D2B9787" w:rsidR="00722B49" w:rsidRPr="00722B49" w:rsidRDefault="00722B49" w:rsidP="00722B4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22B4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7066C" w14:textId="77777777" w:rsidR="004B0D45" w:rsidRDefault="004B0D45" w:rsidP="00722B49">
      <w:r>
        <w:separator/>
      </w:r>
    </w:p>
  </w:footnote>
  <w:footnote w:type="continuationSeparator" w:id="0">
    <w:p w14:paraId="4FDF4003" w14:textId="77777777" w:rsidR="004B0D45" w:rsidRDefault="004B0D45" w:rsidP="00722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1DAAD" w14:textId="630756DC" w:rsidR="003912EE" w:rsidRDefault="003912EE">
    <w:pPr>
      <w:pStyle w:val="Header"/>
    </w:pPr>
    <w:r w:rsidRPr="003912EE">
      <w:t xml:space="preserve">© Younie, S., </w:t>
    </w:r>
    <w:proofErr w:type="spellStart"/>
    <w:r w:rsidRPr="003912EE">
      <w:t>Hidson</w:t>
    </w:r>
    <w:proofErr w:type="spellEnd"/>
    <w:r w:rsidRPr="003912EE">
      <w:t xml:space="preserve">, E., Lawrence, J., &amp; Booth, N. (2026) </w:t>
    </w:r>
    <w:r w:rsidRPr="003912EE">
      <w:rPr>
        <w:i/>
        <w:iCs/>
      </w:rPr>
      <w:t xml:space="preserve">Learning to Teach in the Secondary School </w:t>
    </w:r>
    <w:r w:rsidRPr="003912EE">
      <w:t>(10th Ed.). Routledge.</w:t>
    </w:r>
  </w:p>
  <w:p w14:paraId="0D4C3A45" w14:textId="77777777" w:rsidR="003912EE" w:rsidRDefault="003912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FA"/>
    <w:rsid w:val="00003602"/>
    <w:rsid w:val="0009654D"/>
    <w:rsid w:val="000B6C1A"/>
    <w:rsid w:val="000D444C"/>
    <w:rsid w:val="00256FFC"/>
    <w:rsid w:val="00365EE8"/>
    <w:rsid w:val="003912EE"/>
    <w:rsid w:val="004656A8"/>
    <w:rsid w:val="004B0D45"/>
    <w:rsid w:val="005C69F5"/>
    <w:rsid w:val="00674351"/>
    <w:rsid w:val="006E21E4"/>
    <w:rsid w:val="00722B49"/>
    <w:rsid w:val="0072473D"/>
    <w:rsid w:val="007E22E8"/>
    <w:rsid w:val="0080639E"/>
    <w:rsid w:val="00971D59"/>
    <w:rsid w:val="00C01C6D"/>
    <w:rsid w:val="00C40DDB"/>
    <w:rsid w:val="00CC1849"/>
    <w:rsid w:val="00DB1FB3"/>
    <w:rsid w:val="00E45FFA"/>
    <w:rsid w:val="00EC5EF5"/>
    <w:rsid w:val="00F1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6AFEE"/>
  <w15:chartTrackingRefBased/>
  <w15:docId w15:val="{CE7324AD-FA0E-F245-B99D-80F70B68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FF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5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F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F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F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FF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FF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FF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FF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F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F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F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F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F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F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F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5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FF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5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FFA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5F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FFA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5F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F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FF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link w:val="BodyTextChar"/>
    <w:rsid w:val="00E45FFA"/>
    <w:pPr>
      <w:spacing w:line="480" w:lineRule="auto"/>
      <w:jc w:val="both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E45FF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CommentText">
    <w:name w:val="annotation text"/>
    <w:link w:val="CommentTextChar"/>
    <w:uiPriority w:val="99"/>
    <w:rsid w:val="00E45FFA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5FFA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TableCaption">
    <w:name w:val="Table Caption"/>
    <w:rsid w:val="00E45FFA"/>
    <w:pPr>
      <w:keepNext/>
      <w:spacing w:before="240" w:after="240" w:line="480" w:lineRule="auto"/>
      <w:jc w:val="both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TableSource">
    <w:name w:val="Table Source"/>
    <w:rsid w:val="00E45FFA"/>
    <w:pPr>
      <w:keepNext/>
      <w:spacing w:before="240" w:after="240" w:line="48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rsid w:val="00E45FFA"/>
    <w:rPr>
      <w:rFonts w:ascii="Times New Roman" w:hAnsi="Times New Roman"/>
      <w:sz w:val="16"/>
      <w:szCs w:val="16"/>
      <w:lang w:val="en-GB"/>
    </w:rPr>
  </w:style>
  <w:style w:type="character" w:styleId="Hyperlink">
    <w:name w:val="Hyperlink"/>
    <w:rsid w:val="007E22E8"/>
    <w:rPr>
      <w:rFonts w:ascii="Times New Roman" w:hAnsi="Times New Roman"/>
      <w:u w:val="single"/>
      <w:lang w:val="en-GB"/>
    </w:rPr>
  </w:style>
  <w:style w:type="table" w:styleId="TableGrid">
    <w:name w:val="Table Grid"/>
    <w:basedOn w:val="TableNormal"/>
    <w:uiPriority w:val="39"/>
    <w:rsid w:val="007E2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6C1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6C1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citation">
    <w:name w:val="citation"/>
    <w:rsid w:val="000B6C1A"/>
    <w:rPr>
      <w:rFonts w:ascii="Times New Roman" w:hAnsi="Times New Roman"/>
      <w:sz w:val="24"/>
      <w:szCs w:val="24"/>
      <w:lang w:val="en-GB"/>
    </w:rPr>
  </w:style>
  <w:style w:type="character" w:customStyle="1" w:styleId="crossref">
    <w:name w:val="cross_ref"/>
    <w:rsid w:val="000B6C1A"/>
    <w:rPr>
      <w:rFonts w:ascii="Times New Roman" w:hAnsi="Times New Roman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0639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22B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B4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912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2EE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ebarchive.nationalarchives.gov.uk/20110813104232/http://nsonline.org.uk/node/174694?uc=force_u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b23b8-80ab-4871-af94-265c2a70562d">
      <Terms xmlns="http://schemas.microsoft.com/office/infopath/2007/PartnerControls"/>
    </lcf76f155ced4ddcb4097134ff3c332f>
    <TaxCatchAll xmlns="94d707cb-8288-4c59-8fe9-a457835741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3DE67C22F4940BBE9D170DAE04CAF" ma:contentTypeVersion="18" ma:contentTypeDescription="Create a new document." ma:contentTypeScope="" ma:versionID="50b3c8d461ed132ee39070c7dbf0b0ed">
  <xsd:schema xmlns:xsd="http://www.w3.org/2001/XMLSchema" xmlns:xs="http://www.w3.org/2001/XMLSchema" xmlns:p="http://schemas.microsoft.com/office/2006/metadata/properties" xmlns:ns2="758b23b8-80ab-4871-af94-265c2a70562d" xmlns:ns3="94d707cb-8288-4c59-8fe9-a457835741f6" targetNamespace="http://schemas.microsoft.com/office/2006/metadata/properties" ma:root="true" ma:fieldsID="2f3ebda7f9c4e1b852dc052020f98b93" ns2:_="" ns3:_="">
    <xsd:import namespace="758b23b8-80ab-4871-af94-265c2a70562d"/>
    <xsd:import namespace="94d707cb-8288-4c59-8fe9-a45783574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b23b8-80ab-4871-af94-265c2a705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707cb-8288-4c59-8fe9-a457835741f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51846-cd3e-44b1-a42e-8df071718a87}" ma:internalName="TaxCatchAll" ma:showField="CatchAllData" ma:web="94d707cb-8288-4c59-8fe9-a45783574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C4D76-E93C-4C04-A0CD-21914CAF9175}">
  <ds:schemaRefs>
    <ds:schemaRef ds:uri="http://schemas.microsoft.com/office/2006/metadata/properties"/>
    <ds:schemaRef ds:uri="http://schemas.microsoft.com/office/infopath/2007/PartnerControls"/>
    <ds:schemaRef ds:uri="758b23b8-80ab-4871-af94-265c2a70562d"/>
    <ds:schemaRef ds:uri="94d707cb-8288-4c59-8fe9-a457835741f6"/>
  </ds:schemaRefs>
</ds:datastoreItem>
</file>

<file path=customXml/itemProps2.xml><?xml version="1.0" encoding="utf-8"?>
<ds:datastoreItem xmlns:ds="http://schemas.openxmlformats.org/officeDocument/2006/customXml" ds:itemID="{22193826-58F1-4315-8FC0-40F01AB34B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B805E-732C-4920-97ED-9A14C3469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b23b8-80ab-4871-af94-265c2a70562d"/>
    <ds:schemaRef ds:uri="94d707cb-8288-4c59-8fe9-a45783574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Capel</dc:creator>
  <cp:keywords/>
  <dc:description/>
  <cp:lastModifiedBy>Sharpe, Tori</cp:lastModifiedBy>
  <cp:revision>6</cp:revision>
  <dcterms:created xsi:type="dcterms:W3CDTF">2026-05-11T12:02:00Z</dcterms:created>
  <dcterms:modified xsi:type="dcterms:W3CDTF">2026-07-29T14:39:00Z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30d8a7c,7f188893,4e2f14ea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2026-05-11T12:00:52Z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b359cb18-6b4c-47de-b45e-c7969c77d884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0x0101006B43DE67C22F4940BBE9D170DAE04CAF</vt:lpwstr>
  </property>
</Properties>
</file>