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2"/>
        <w:gridCol w:w="4688"/>
      </w:tblGrid>
      <w:tr>
        <w:trPr>
          <w:trHeight w:val="1158" w:hRule="atLeast"/>
        </w:trPr>
        <w:tc>
          <w:tcPr>
            <w:tcW w:w="4052" w:type="dxa"/>
          </w:tcPr>
          <w:p>
            <w:pPr>
              <w:pStyle w:val="TableParagraph"/>
              <w:ind w:left="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21633" cy="49987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3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688" w:type="dxa"/>
          </w:tcPr>
          <w:p>
            <w:pPr>
              <w:pStyle w:val="TableParagraph"/>
              <w:spacing w:line="205" w:lineRule="exact"/>
              <w:rPr>
                <w:b/>
                <w:sz w:val="18"/>
              </w:rPr>
            </w:pPr>
            <w:r>
              <w:rPr>
                <w:b/>
                <w:color w:val="6F2F9F"/>
                <w:sz w:val="18"/>
              </w:rPr>
              <w:t>Direct</w:t>
            </w:r>
            <w:r>
              <w:rPr>
                <w:b/>
                <w:color w:val="6F2F9F"/>
                <w:spacing w:val="-5"/>
                <w:sz w:val="18"/>
              </w:rPr>
              <w:t> </w:t>
            </w:r>
            <w:r>
              <w:rPr>
                <w:b/>
                <w:color w:val="6F2F9F"/>
                <w:sz w:val="18"/>
              </w:rPr>
              <w:t>Communications</w:t>
            </w:r>
            <w:r>
              <w:rPr>
                <w:b/>
                <w:color w:val="6F2F9F"/>
                <w:spacing w:val="-4"/>
                <w:sz w:val="18"/>
              </w:rPr>
              <w:t> Unit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6" w:lineRule="auto"/>
              <w:ind w:right="460"/>
              <w:rPr>
                <w:sz w:val="18"/>
              </w:rPr>
            </w:pPr>
            <w:r>
              <w:rPr>
                <w:sz w:val="18"/>
              </w:rPr>
              <w:t>2 Marsham Street London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SW1P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4DF</w:t>
            </w:r>
          </w:p>
          <w:p>
            <w:pPr>
              <w:pStyle w:val="TableParagraph"/>
              <w:spacing w:line="187" w:lineRule="exact" w:before="26"/>
              <w:rPr>
                <w:b/>
                <w:sz w:val="18"/>
              </w:rPr>
            </w:pPr>
            <w:hyperlink r:id="rId6">
              <w:r>
                <w:rPr>
                  <w:b/>
                  <w:color w:val="6F2F9F"/>
                  <w:spacing w:val="-2"/>
                  <w:sz w:val="18"/>
                </w:rPr>
                <w:t>www.gov.uk/home-office</w:t>
              </w:r>
            </w:hyperlink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5"/>
        <w:rPr>
          <w:rFonts w:ascii="Times New Roman"/>
        </w:rPr>
      </w:pPr>
    </w:p>
    <w:p>
      <w:pPr>
        <w:pStyle w:val="BodyText"/>
        <w:ind w:left="141"/>
      </w:pPr>
      <w:r>
        <w:rPr/>
        <w:t>Donald</w:t>
      </w:r>
      <w:r>
        <w:rPr>
          <w:spacing w:val="-2"/>
        </w:rPr>
        <w:t> MacKenzie</w:t>
      </w:r>
    </w:p>
    <w:p>
      <w:pPr>
        <w:pStyle w:val="BodyText"/>
        <w:ind w:left="141" w:right="6000"/>
      </w:pPr>
      <w:r>
        <w:rPr/>
        <w:t>Community</w:t>
      </w:r>
      <w:r>
        <w:rPr>
          <w:spacing w:val="-12"/>
        </w:rPr>
        <w:t> </w:t>
      </w:r>
      <w:r>
        <w:rPr/>
        <w:t>Councils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Inverness 52 Crown Drive</w:t>
      </w:r>
    </w:p>
    <w:p>
      <w:pPr>
        <w:pStyle w:val="BodyText"/>
        <w:ind w:left="141" w:right="8422"/>
      </w:pPr>
      <w:r>
        <w:rPr>
          <w:spacing w:val="-2"/>
        </w:rPr>
        <w:t>Inverness </w:t>
      </w:r>
      <w:r>
        <w:rPr/>
        <w:t>IV2 3QG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141"/>
      </w:pPr>
      <w:r>
        <w:rPr/>
        <w:t>DECS</w:t>
      </w:r>
      <w:r>
        <w:rPr>
          <w:spacing w:val="-3"/>
        </w:rPr>
        <w:t> </w:t>
      </w:r>
      <w:r>
        <w:rPr/>
        <w:t>Reference:</w:t>
      </w:r>
      <w:r>
        <w:rPr>
          <w:spacing w:val="-5"/>
        </w:rPr>
        <w:t> </w:t>
      </w:r>
      <w:r>
        <w:rPr>
          <w:spacing w:val="-2"/>
        </w:rPr>
        <w:t>TRO/1439693/25</w:t>
      </w:r>
    </w:p>
    <w:p>
      <w:pPr>
        <w:pStyle w:val="BodyText"/>
      </w:pPr>
    </w:p>
    <w:p>
      <w:pPr>
        <w:pStyle w:val="BodyText"/>
        <w:ind w:right="138"/>
        <w:jc w:val="right"/>
      </w:pPr>
      <w:r>
        <w:rPr/>
        <w:t>15</w:t>
      </w:r>
      <w:r>
        <w:rPr>
          <w:spacing w:val="-3"/>
        </w:rPr>
        <w:t> </w:t>
      </w:r>
      <w:r>
        <w:rPr/>
        <w:t>January</w:t>
      </w:r>
      <w:r>
        <w:rPr>
          <w:spacing w:val="-4"/>
        </w:rPr>
        <w:t> 2026</w:t>
      </w:r>
    </w:p>
    <w:p>
      <w:pPr>
        <w:pStyle w:val="BodyText"/>
      </w:pPr>
    </w:p>
    <w:p>
      <w:pPr>
        <w:pStyle w:val="BodyText"/>
        <w:ind w:left="141"/>
      </w:pPr>
      <w:r>
        <w:rPr/>
        <w:t>Dear</w:t>
      </w:r>
      <w:r>
        <w:rPr>
          <w:spacing w:val="-2"/>
        </w:rPr>
        <w:t> </w:t>
      </w:r>
      <w:r>
        <w:rPr/>
        <w:t>Cllr</w:t>
      </w:r>
      <w:r>
        <w:rPr>
          <w:spacing w:val="-2"/>
        </w:rPr>
        <w:t> MacKenzie,</w:t>
      </w:r>
    </w:p>
    <w:p>
      <w:pPr>
        <w:pStyle w:val="BodyText"/>
      </w:pPr>
    </w:p>
    <w:p>
      <w:pPr>
        <w:pStyle w:val="BodyText"/>
        <w:ind w:left="141" w:right="66"/>
      </w:pPr>
      <w:r>
        <w:rPr/>
        <w:t>Thank you for your correspondence of 17 December 2025 to the Minister for Border Security &amp;</w:t>
      </w:r>
      <w:r>
        <w:rPr>
          <w:spacing w:val="-6"/>
        </w:rPr>
        <w:t> </w:t>
      </w:r>
      <w:r>
        <w:rPr/>
        <w:t>Asylum, on behalf of the communities represented by Crown and City Centre, Raigmore, and Culcabock and Drakies Community Councils, about the proposed use of Cameron</w:t>
      </w:r>
      <w:r>
        <w:rPr>
          <w:spacing w:val="-5"/>
        </w:rPr>
        <w:t> </w:t>
      </w:r>
      <w:r>
        <w:rPr/>
        <w:t>Barracks</w:t>
      </w:r>
      <w:r>
        <w:rPr>
          <w:spacing w:val="-5"/>
        </w:rPr>
        <w:t> </w:t>
      </w:r>
      <w:r>
        <w:rPr/>
        <w:t>for</w:t>
      </w:r>
      <w:r>
        <w:rPr>
          <w:spacing w:val="-8"/>
        </w:rPr>
        <w:t> </w:t>
      </w:r>
      <w:r>
        <w:rPr/>
        <w:t>asylum</w:t>
      </w:r>
      <w:r>
        <w:rPr>
          <w:spacing w:val="-5"/>
        </w:rPr>
        <w:t> </w:t>
      </w:r>
      <w:r>
        <w:rPr/>
        <w:t>accommodation.</w:t>
      </w:r>
      <w:r>
        <w:rPr>
          <w:spacing w:val="40"/>
        </w:rPr>
        <w:t> </w:t>
      </w:r>
      <w:r>
        <w:rPr/>
        <w:t>Your</w:t>
      </w:r>
      <w:r>
        <w:rPr>
          <w:spacing w:val="-5"/>
        </w:rPr>
        <w:t> </w:t>
      </w:r>
      <w:r>
        <w:rPr/>
        <w:t>correspondence</w:t>
      </w:r>
      <w:r>
        <w:rPr>
          <w:spacing w:val="-5"/>
        </w:rPr>
        <w:t> </w:t>
      </w:r>
      <w:r>
        <w:rPr/>
        <w:t>has</w:t>
      </w:r>
      <w:r>
        <w:rPr>
          <w:spacing w:val="-8"/>
        </w:rPr>
        <w:t> </w:t>
      </w:r>
      <w:r>
        <w:rPr/>
        <w:t>been</w:t>
      </w:r>
      <w:r>
        <w:rPr>
          <w:spacing w:val="-7"/>
        </w:rPr>
        <w:t> </w:t>
      </w:r>
      <w:r>
        <w:rPr/>
        <w:t>passed</w:t>
      </w:r>
      <w:r>
        <w:rPr>
          <w:spacing w:val="-5"/>
        </w:rPr>
        <w:t> </w:t>
      </w:r>
      <w:r>
        <w:rPr/>
        <w:t>to Asylum Support at the Home Office for a response.</w:t>
      </w:r>
    </w:p>
    <w:p>
      <w:pPr>
        <w:pStyle w:val="BodyText"/>
      </w:pPr>
    </w:p>
    <w:p>
      <w:pPr>
        <w:pStyle w:val="BodyText"/>
        <w:ind w:left="141" w:right="199"/>
      </w:pPr>
      <w:r>
        <w:rPr/>
        <w:t>The Government has a statutory obligation, in accordance with the Immigration and Asylum</w:t>
      </w:r>
      <w:r>
        <w:rPr>
          <w:spacing w:val="-17"/>
        </w:rPr>
        <w:t> </w:t>
      </w:r>
      <w:r>
        <w:rPr/>
        <w:t>Act</w:t>
      </w:r>
      <w:r>
        <w:rPr>
          <w:spacing w:val="-2"/>
        </w:rPr>
        <w:t> </w:t>
      </w:r>
      <w:r>
        <w:rPr/>
        <w:t>1999,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accommodation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asylum</w:t>
      </w:r>
      <w:r>
        <w:rPr>
          <w:spacing w:val="-2"/>
        </w:rPr>
        <w:t> </w:t>
      </w:r>
      <w:r>
        <w:rPr/>
        <w:t>seekers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would</w:t>
      </w:r>
      <w:r>
        <w:rPr>
          <w:spacing w:val="-4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be destitute. </w:t>
      </w:r>
      <w:r>
        <w:rPr>
          <w:color w:val="0A0C0C"/>
        </w:rPr>
        <w:t>We have committed to exiting hotels at the earliest opportunity, and in order to do this we need to stand up alternative accommodation which is better suited to this </w:t>
      </w:r>
      <w:r>
        <w:rPr>
          <w:color w:val="0A0C0C"/>
          <w:spacing w:val="-2"/>
        </w:rPr>
        <w:t>purpose.</w:t>
      </w:r>
    </w:p>
    <w:p>
      <w:pPr>
        <w:pStyle w:val="BodyText"/>
        <w:spacing w:before="274"/>
        <w:ind w:left="141"/>
      </w:pPr>
      <w:r>
        <w:rPr>
          <w:color w:val="0A0C0C"/>
        </w:rPr>
        <w:t>The</w:t>
      </w:r>
      <w:r>
        <w:rPr>
          <w:color w:val="0A0C0C"/>
          <w:spacing w:val="-5"/>
        </w:rPr>
        <w:t> </w:t>
      </w:r>
      <w:r>
        <w:rPr>
          <w:color w:val="0A0C0C"/>
        </w:rPr>
        <w:t>Ministry</w:t>
      </w:r>
      <w:r>
        <w:rPr>
          <w:color w:val="0A0C0C"/>
          <w:spacing w:val="-3"/>
        </w:rPr>
        <w:t> </w:t>
      </w:r>
      <w:r>
        <w:rPr>
          <w:color w:val="0A0C0C"/>
        </w:rPr>
        <w:t>of</w:t>
      </w:r>
      <w:r>
        <w:rPr>
          <w:color w:val="0A0C0C"/>
          <w:spacing w:val="-2"/>
        </w:rPr>
        <w:t> </w:t>
      </w:r>
      <w:r>
        <w:rPr>
          <w:color w:val="0A0C0C"/>
        </w:rPr>
        <w:t>Defence</w:t>
      </w:r>
      <w:r>
        <w:rPr>
          <w:color w:val="0A0C0C"/>
          <w:spacing w:val="-3"/>
        </w:rPr>
        <w:t> </w:t>
      </w:r>
      <w:r>
        <w:rPr>
          <w:color w:val="0A0C0C"/>
        </w:rPr>
        <w:t>(MOD)</w:t>
      </w:r>
      <w:r>
        <w:rPr>
          <w:color w:val="0A0C0C"/>
          <w:spacing w:val="-5"/>
        </w:rPr>
        <w:t> </w:t>
      </w:r>
      <w:r>
        <w:rPr>
          <w:color w:val="0A0C0C"/>
        </w:rPr>
        <w:t>have</w:t>
      </w:r>
      <w:r>
        <w:rPr>
          <w:color w:val="0A0C0C"/>
          <w:spacing w:val="-4"/>
        </w:rPr>
        <w:t> </w:t>
      </w:r>
      <w:r>
        <w:rPr>
          <w:color w:val="0A0C0C"/>
        </w:rPr>
        <w:t>offered</w:t>
      </w:r>
      <w:r>
        <w:rPr>
          <w:color w:val="0A0C0C"/>
          <w:spacing w:val="-3"/>
        </w:rPr>
        <w:t> </w:t>
      </w:r>
      <w:r>
        <w:rPr>
          <w:color w:val="0A0C0C"/>
        </w:rPr>
        <w:t>the</w:t>
      </w:r>
      <w:r>
        <w:rPr>
          <w:color w:val="0A0C0C"/>
          <w:spacing w:val="-2"/>
        </w:rPr>
        <w:t> </w:t>
      </w:r>
      <w:r>
        <w:rPr>
          <w:color w:val="0A0C0C"/>
        </w:rPr>
        <w:t>Cameron</w:t>
      </w:r>
      <w:r>
        <w:rPr>
          <w:color w:val="0A0C0C"/>
          <w:spacing w:val="-3"/>
        </w:rPr>
        <w:t> </w:t>
      </w:r>
      <w:r>
        <w:rPr>
          <w:color w:val="0A0C0C"/>
        </w:rPr>
        <w:t>Barracks</w:t>
      </w:r>
      <w:r>
        <w:rPr>
          <w:color w:val="0A0C0C"/>
          <w:spacing w:val="-5"/>
        </w:rPr>
        <w:t> </w:t>
      </w:r>
      <w:r>
        <w:rPr>
          <w:color w:val="0A0C0C"/>
        </w:rPr>
        <w:t>site</w:t>
      </w:r>
      <w:r>
        <w:rPr>
          <w:color w:val="0A0C0C"/>
          <w:spacing w:val="-2"/>
        </w:rPr>
        <w:t> </w:t>
      </w:r>
      <w:r>
        <w:rPr>
          <w:color w:val="0A0C0C"/>
        </w:rPr>
        <w:t>to</w:t>
      </w:r>
      <w:r>
        <w:rPr>
          <w:color w:val="0A0C0C"/>
          <w:spacing w:val="-5"/>
        </w:rPr>
        <w:t> </w:t>
      </w:r>
      <w:r>
        <w:rPr>
          <w:color w:val="0A0C0C"/>
        </w:rPr>
        <w:t>the</w:t>
      </w:r>
      <w:r>
        <w:rPr>
          <w:color w:val="0A0C0C"/>
          <w:spacing w:val="-4"/>
        </w:rPr>
        <w:t> Home</w:t>
      </w:r>
    </w:p>
    <w:p>
      <w:pPr>
        <w:pStyle w:val="BodyText"/>
        <w:spacing w:before="1"/>
        <w:ind w:left="141"/>
      </w:pPr>
      <w:r>
        <w:rPr>
          <w:color w:val="0A0C0C"/>
        </w:rPr>
        <w:t>Office</w:t>
      </w:r>
      <w:r>
        <w:rPr>
          <w:color w:val="0A0C0C"/>
          <w:spacing w:val="-2"/>
        </w:rPr>
        <w:t> </w:t>
      </w:r>
      <w:r>
        <w:rPr>
          <w:color w:val="0A0C0C"/>
        </w:rPr>
        <w:t>for</w:t>
      </w:r>
      <w:r>
        <w:rPr>
          <w:color w:val="0A0C0C"/>
          <w:spacing w:val="-4"/>
        </w:rPr>
        <w:t> </w:t>
      </w:r>
      <w:r>
        <w:rPr>
          <w:color w:val="0A0C0C"/>
        </w:rPr>
        <w:t>a</w:t>
      </w:r>
      <w:r>
        <w:rPr>
          <w:color w:val="0A0C0C"/>
          <w:spacing w:val="-2"/>
        </w:rPr>
        <w:t> </w:t>
      </w:r>
      <w:r>
        <w:rPr>
          <w:color w:val="0A0C0C"/>
        </w:rPr>
        <w:t>period</w:t>
      </w:r>
      <w:r>
        <w:rPr>
          <w:color w:val="0A0C0C"/>
          <w:spacing w:val="-3"/>
        </w:rPr>
        <w:t> </w:t>
      </w:r>
      <w:r>
        <w:rPr>
          <w:color w:val="0A0C0C"/>
        </w:rPr>
        <w:t>of</w:t>
      </w:r>
      <w:r>
        <w:rPr>
          <w:color w:val="0A0C0C"/>
          <w:spacing w:val="-2"/>
        </w:rPr>
        <w:t> </w:t>
      </w:r>
      <w:r>
        <w:rPr>
          <w:color w:val="0A0C0C"/>
        </w:rPr>
        <w:t>12</w:t>
      </w:r>
      <w:r>
        <w:rPr>
          <w:color w:val="0A0C0C"/>
          <w:spacing w:val="-2"/>
        </w:rPr>
        <w:t> </w:t>
      </w:r>
      <w:r>
        <w:rPr>
          <w:color w:val="0A0C0C"/>
        </w:rPr>
        <w:t>months,</w:t>
      </w:r>
      <w:r>
        <w:rPr>
          <w:color w:val="0A0C0C"/>
          <w:spacing w:val="-2"/>
        </w:rPr>
        <w:t> </w:t>
      </w:r>
      <w:r>
        <w:rPr>
          <w:color w:val="0A0C0C"/>
        </w:rPr>
        <w:t>after</w:t>
      </w:r>
      <w:r>
        <w:rPr>
          <w:color w:val="0A0C0C"/>
          <w:spacing w:val="-2"/>
        </w:rPr>
        <w:t> </w:t>
      </w:r>
      <w:r>
        <w:rPr>
          <w:color w:val="0A0C0C"/>
        </w:rPr>
        <w:t>which</w:t>
      </w:r>
      <w:r>
        <w:rPr>
          <w:color w:val="0A0C0C"/>
          <w:spacing w:val="-3"/>
        </w:rPr>
        <w:t> </w:t>
      </w:r>
      <w:r>
        <w:rPr>
          <w:color w:val="0A0C0C"/>
        </w:rPr>
        <w:t>it</w:t>
      </w:r>
      <w:r>
        <w:rPr>
          <w:color w:val="0A0C0C"/>
          <w:spacing w:val="-2"/>
        </w:rPr>
        <w:t> </w:t>
      </w:r>
      <w:r>
        <w:rPr>
          <w:color w:val="0A0C0C"/>
        </w:rPr>
        <w:t>will</w:t>
      </w:r>
      <w:r>
        <w:rPr>
          <w:color w:val="0A0C0C"/>
          <w:spacing w:val="-2"/>
        </w:rPr>
        <w:t> </w:t>
      </w:r>
      <w:r>
        <w:rPr>
          <w:color w:val="0A0C0C"/>
        </w:rPr>
        <w:t>return</w:t>
      </w:r>
      <w:r>
        <w:rPr>
          <w:color w:val="0A0C0C"/>
          <w:spacing w:val="-2"/>
        </w:rPr>
        <w:t> </w:t>
      </w:r>
      <w:r>
        <w:rPr>
          <w:color w:val="0A0C0C"/>
        </w:rPr>
        <w:t>to</w:t>
      </w:r>
      <w:r>
        <w:rPr>
          <w:color w:val="0A0C0C"/>
          <w:spacing w:val="-3"/>
        </w:rPr>
        <w:t> </w:t>
      </w:r>
      <w:r>
        <w:rPr>
          <w:color w:val="0A0C0C"/>
        </w:rPr>
        <w:t>MOD</w:t>
      </w:r>
      <w:r>
        <w:rPr>
          <w:color w:val="0A0C0C"/>
          <w:spacing w:val="-2"/>
        </w:rPr>
        <w:t> </w:t>
      </w:r>
      <w:r>
        <w:rPr>
          <w:color w:val="0A0C0C"/>
        </w:rPr>
        <w:t>as</w:t>
      </w:r>
      <w:r>
        <w:rPr>
          <w:color w:val="0A0C0C"/>
          <w:spacing w:val="-3"/>
        </w:rPr>
        <w:t> </w:t>
      </w:r>
      <w:r>
        <w:rPr>
          <w:color w:val="0A0C0C"/>
        </w:rPr>
        <w:t>part</w:t>
      </w:r>
      <w:r>
        <w:rPr>
          <w:color w:val="0A0C0C"/>
          <w:spacing w:val="-2"/>
        </w:rPr>
        <w:t> </w:t>
      </w:r>
      <w:r>
        <w:rPr>
          <w:color w:val="0A0C0C"/>
        </w:rPr>
        <w:t>of</w:t>
      </w:r>
      <w:r>
        <w:rPr>
          <w:color w:val="0A0C0C"/>
          <w:spacing w:val="-3"/>
        </w:rPr>
        <w:t> </w:t>
      </w:r>
      <w:r>
        <w:rPr>
          <w:color w:val="0A0C0C"/>
        </w:rPr>
        <w:t>their</w:t>
      </w:r>
      <w:r>
        <w:rPr>
          <w:color w:val="0A0C0C"/>
          <w:spacing w:val="-3"/>
        </w:rPr>
        <w:t> </w:t>
      </w:r>
      <w:r>
        <w:rPr>
          <w:color w:val="0A0C0C"/>
        </w:rPr>
        <w:t>training </w:t>
      </w:r>
      <w:r>
        <w:rPr>
          <w:color w:val="0A0C0C"/>
          <w:spacing w:val="-2"/>
        </w:rPr>
        <w:t>estate.</w:t>
      </w:r>
    </w:p>
    <w:p>
      <w:pPr>
        <w:pStyle w:val="BodyText"/>
      </w:pPr>
    </w:p>
    <w:p>
      <w:pPr>
        <w:pStyle w:val="BodyText"/>
        <w:ind w:left="141" w:right="66"/>
      </w:pPr>
      <w:r>
        <w:rPr>
          <w:color w:val="0A0C0C"/>
        </w:rPr>
        <w:t>Home</w:t>
      </w:r>
      <w:r>
        <w:rPr>
          <w:color w:val="0A0C0C"/>
          <w:spacing w:val="-4"/>
        </w:rPr>
        <w:t> </w:t>
      </w:r>
      <w:r>
        <w:rPr>
          <w:color w:val="0A0C0C"/>
        </w:rPr>
        <w:t>Office</w:t>
      </w:r>
      <w:r>
        <w:rPr>
          <w:color w:val="0A0C0C"/>
          <w:spacing w:val="-5"/>
        </w:rPr>
        <w:t> </w:t>
      </w:r>
      <w:r>
        <w:rPr>
          <w:color w:val="0A0C0C"/>
        </w:rPr>
        <w:t>officials</w:t>
      </w:r>
      <w:r>
        <w:rPr>
          <w:color w:val="0A0C0C"/>
          <w:spacing w:val="-4"/>
        </w:rPr>
        <w:t> </w:t>
      </w:r>
      <w:r>
        <w:rPr>
          <w:color w:val="0A0C0C"/>
        </w:rPr>
        <w:t>are</w:t>
      </w:r>
      <w:r>
        <w:rPr>
          <w:color w:val="0A0C0C"/>
          <w:spacing w:val="-4"/>
        </w:rPr>
        <w:t> </w:t>
      </w:r>
      <w:r>
        <w:rPr>
          <w:color w:val="0A0C0C"/>
        </w:rPr>
        <w:t>currently</w:t>
      </w:r>
      <w:r>
        <w:rPr>
          <w:color w:val="0A0C0C"/>
          <w:spacing w:val="-4"/>
        </w:rPr>
        <w:t> </w:t>
      </w:r>
      <w:r>
        <w:rPr>
          <w:color w:val="0A0C0C"/>
        </w:rPr>
        <w:t>assessing</w:t>
      </w:r>
      <w:r>
        <w:rPr>
          <w:color w:val="0A0C0C"/>
          <w:spacing w:val="-6"/>
        </w:rPr>
        <w:t> </w:t>
      </w:r>
      <w:r>
        <w:rPr>
          <w:color w:val="0A0C0C"/>
        </w:rPr>
        <w:t>the</w:t>
      </w:r>
      <w:r>
        <w:rPr>
          <w:color w:val="0A0C0C"/>
          <w:spacing w:val="-4"/>
        </w:rPr>
        <w:t> </w:t>
      </w:r>
      <w:r>
        <w:rPr>
          <w:color w:val="0A0C0C"/>
        </w:rPr>
        <w:t>feasibility</w:t>
      </w:r>
      <w:r>
        <w:rPr>
          <w:color w:val="0A0C0C"/>
          <w:spacing w:val="-4"/>
        </w:rPr>
        <w:t> </w:t>
      </w:r>
      <w:r>
        <w:rPr>
          <w:color w:val="0A0C0C"/>
        </w:rPr>
        <w:t>of</w:t>
      </w:r>
      <w:r>
        <w:rPr>
          <w:color w:val="0A0C0C"/>
          <w:spacing w:val="-4"/>
        </w:rPr>
        <w:t> </w:t>
      </w:r>
      <w:r>
        <w:rPr>
          <w:color w:val="0A0C0C"/>
        </w:rPr>
        <w:t>the</w:t>
      </w:r>
      <w:r>
        <w:rPr>
          <w:color w:val="0A0C0C"/>
          <w:spacing w:val="-4"/>
        </w:rPr>
        <w:t> </w:t>
      </w:r>
      <w:r>
        <w:rPr>
          <w:color w:val="0A0C0C"/>
        </w:rPr>
        <w:t>site</w:t>
      </w:r>
      <w:r>
        <w:rPr>
          <w:color w:val="0A0C0C"/>
          <w:spacing w:val="-4"/>
        </w:rPr>
        <w:t> </w:t>
      </w:r>
      <w:r>
        <w:rPr>
          <w:color w:val="0A0C0C"/>
        </w:rPr>
        <w:t>as</w:t>
      </w:r>
      <w:r>
        <w:rPr>
          <w:color w:val="0A0C0C"/>
          <w:spacing w:val="-5"/>
        </w:rPr>
        <w:t> </w:t>
      </w:r>
      <w:r>
        <w:rPr>
          <w:color w:val="0A0C0C"/>
        </w:rPr>
        <w:t>alternative</w:t>
      </w:r>
      <w:r>
        <w:rPr>
          <w:color w:val="0A0C0C"/>
          <w:spacing w:val="-4"/>
        </w:rPr>
        <w:t> </w:t>
      </w:r>
      <w:r>
        <w:rPr>
          <w:color w:val="0A0C0C"/>
        </w:rPr>
        <w:t>asylum accommodation, and a final decision has not yet been made.</w:t>
      </w:r>
    </w:p>
    <w:p>
      <w:pPr>
        <w:pStyle w:val="BodyText"/>
      </w:pPr>
    </w:p>
    <w:p>
      <w:pPr>
        <w:pStyle w:val="BodyText"/>
        <w:ind w:left="141" w:right="199"/>
      </w:pPr>
      <w:r>
        <w:rPr/>
        <w:t>The Home Office is engaging regularly with local authorities, Police Scotland, NHS Highland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partners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ensure</w:t>
      </w:r>
      <w:r>
        <w:rPr>
          <w:spacing w:val="-5"/>
        </w:rPr>
        <w:t> </w:t>
      </w:r>
      <w:r>
        <w:rPr/>
        <w:t>robust</w:t>
      </w:r>
      <w:r>
        <w:rPr>
          <w:spacing w:val="-7"/>
        </w:rPr>
        <w:t> </w:t>
      </w:r>
      <w:r>
        <w:rPr/>
        <w:t>arrangements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safety, service provision and community cohesion.</w:t>
      </w:r>
    </w:p>
    <w:p>
      <w:pPr>
        <w:pStyle w:val="BodyText"/>
      </w:pPr>
    </w:p>
    <w:p>
      <w:pPr>
        <w:pStyle w:val="BodyText"/>
        <w:ind w:left="141"/>
      </w:pPr>
      <w:r>
        <w:rPr/>
        <w:t>With regard to local healthcare pressures, the department is working closely with health partners to ensure that healthcare provision at Cameron Barracks would meet residents’ needs</w:t>
      </w:r>
      <w:r>
        <w:rPr>
          <w:spacing w:val="-3"/>
        </w:rPr>
        <w:t> </w:t>
      </w:r>
      <w:r>
        <w:rPr/>
        <w:t>while</w:t>
      </w:r>
      <w:r>
        <w:rPr>
          <w:spacing w:val="-3"/>
        </w:rPr>
        <w:t> </w:t>
      </w:r>
      <w:r>
        <w:rPr/>
        <w:t>minimising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impact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health</w:t>
      </w:r>
      <w:r>
        <w:rPr>
          <w:spacing w:val="-5"/>
        </w:rPr>
        <w:t> </w:t>
      </w:r>
      <w:r>
        <w:rPr/>
        <w:t>services.</w:t>
      </w:r>
      <w:r>
        <w:rPr>
          <w:spacing w:val="-5"/>
        </w:rPr>
        <w:t> </w:t>
      </w:r>
      <w:r>
        <w:rPr/>
        <w:t>Routine</w:t>
      </w:r>
      <w:r>
        <w:rPr>
          <w:spacing w:val="-5"/>
        </w:rPr>
        <w:t> </w:t>
      </w:r>
      <w:r>
        <w:rPr/>
        <w:t>primary</w:t>
      </w:r>
      <w:r>
        <w:rPr>
          <w:spacing w:val="-3"/>
        </w:rPr>
        <w:t> </w:t>
      </w:r>
      <w:r>
        <w:rPr/>
        <w:t>health services for those accommodated at the site would be funded by the Home Office, with additional wraparound support available from our service provider to support</w:t>
      </w:r>
      <w:r>
        <w:rPr>
          <w:spacing w:val="8"/>
          <w:position w:val="-3"/>
        </w:rPr>
        <w:drawing>
          <wp:inline distT="0" distB="0" distL="0" distR="0">
            <wp:extent cx="42672" cy="106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3"/>
        </w:rPr>
      </w:r>
      <w:r>
        <w:rPr/>
        <w:t>wellbeing.</w:t>
      </w:r>
    </w:p>
    <w:p>
      <w:pPr>
        <w:pStyle w:val="BodyText"/>
        <w:spacing w:after="0"/>
        <w:sectPr>
          <w:type w:val="continuous"/>
          <w:pgSz w:w="11910" w:h="16840"/>
          <w:pgMar w:top="980" w:bottom="280" w:left="992" w:right="992"/>
        </w:sectPr>
      </w:pPr>
    </w:p>
    <w:p>
      <w:pPr>
        <w:pStyle w:val="BodyText"/>
        <w:spacing w:before="82"/>
        <w:ind w:left="141"/>
      </w:pP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accurate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up-to-date</w:t>
      </w:r>
      <w:r>
        <w:rPr>
          <w:spacing w:val="-5"/>
        </w:rPr>
        <w:t> </w:t>
      </w:r>
      <w:r>
        <w:rPr/>
        <w:t>information,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Home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has published a factsheet on GOV.UK, which will be regularly updated as plans develop. I encourage you to refer to this resource for the latest updates:</w:t>
      </w:r>
    </w:p>
    <w:p>
      <w:pPr>
        <w:pStyle w:val="BodyText"/>
      </w:pPr>
    </w:p>
    <w:p>
      <w:pPr>
        <w:pStyle w:val="BodyText"/>
        <w:ind w:left="141"/>
      </w:pPr>
      <w:hyperlink r:id="rId8">
        <w:r>
          <w:rPr>
            <w:color w:val="0462C1"/>
            <w:u w:val="single" w:color="0462C1"/>
          </w:rPr>
          <w:t>Cameron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Barracks,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Inverness: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factsheet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GOV.UK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/>
        <w:t>Yours </w:t>
      </w:r>
      <w:r>
        <w:rPr>
          <w:spacing w:val="-2"/>
        </w:rPr>
        <w:t>sincerely,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141"/>
      </w:pPr>
      <w:r>
        <w:rPr/>
        <w:t>J </w:t>
      </w:r>
      <w:r>
        <w:rPr>
          <w:spacing w:val="-2"/>
        </w:rPr>
        <w:t>Burley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41" w:right="4891"/>
      </w:pPr>
      <w:r>
        <w:rPr/>
        <w:t>Asylum</w:t>
      </w:r>
      <w:r>
        <w:rPr>
          <w:spacing w:val="-8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Business</w:t>
      </w:r>
      <w:r>
        <w:rPr>
          <w:spacing w:val="-8"/>
        </w:rPr>
        <w:t> </w:t>
      </w:r>
      <w:r>
        <w:rPr/>
        <w:t>Delivery</w:t>
      </w:r>
      <w:r>
        <w:rPr>
          <w:spacing w:val="-8"/>
        </w:rPr>
        <w:t> </w:t>
      </w:r>
      <w:r>
        <w:rPr/>
        <w:t>Unit Asylum Support</w:t>
      </w:r>
    </w:p>
    <w:p>
      <w:pPr>
        <w:pStyle w:val="BodyText"/>
        <w:spacing w:line="275" w:lineRule="exact"/>
        <w:ind w:left="141"/>
      </w:pPr>
      <w:r>
        <w:rPr/>
        <w:t>Home</w:t>
      </w:r>
      <w:r>
        <w:rPr>
          <w:spacing w:val="-3"/>
        </w:rPr>
        <w:t> </w:t>
      </w:r>
      <w:r>
        <w:rPr>
          <w:spacing w:val="-2"/>
        </w:rPr>
        <w:t>Office</w:t>
      </w:r>
    </w:p>
    <w:p>
      <w:pPr>
        <w:pStyle w:val="BodyText"/>
        <w:spacing w:before="3"/>
        <w:ind w:left="141"/>
      </w:pPr>
      <w:r>
        <w:rPr/>
        <w:t>Email:</w:t>
      </w:r>
      <w:r>
        <w:rPr>
          <w:spacing w:val="-2"/>
        </w:rPr>
        <w:t> </w:t>
      </w:r>
      <w:hyperlink r:id="rId9">
        <w:r>
          <w:rPr>
            <w:color w:val="0462C1"/>
            <w:spacing w:val="-2"/>
            <w:u w:val="single" w:color="0462C1"/>
          </w:rPr>
          <w:t>Public.Enquiries@homeoffice.gov.uk</w:t>
        </w:r>
      </w:hyperlink>
    </w:p>
    <w:sectPr>
      <w:pgSz w:w="11910" w:h="16840"/>
      <w:pgMar w:top="9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16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gov.uk/home-office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www.gov.uk/government/publications/asylum-accommodation-at-military-sites-factsheets/cameron-barracks-inverness-factsheet" TargetMode="External"/><Relationship Id="rId9" Type="http://schemas.openxmlformats.org/officeDocument/2006/relationships/hyperlink" Target="mailto:Public.Enquiries@homeoffice.gov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[Region/Directorate]</dc:title>
  <dcterms:created xsi:type="dcterms:W3CDTF">2026-02-06T00:17:19Z</dcterms:created>
  <dcterms:modified xsi:type="dcterms:W3CDTF">2026-02-06T00:17:19Z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for Microsoft 365</vt:lpwstr>
  </property>
</Properties>
</file>