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08CA" w14:textId="77777777" w:rsidR="001F4644" w:rsidRPr="001F4644" w:rsidRDefault="001F4644" w:rsidP="001F4644">
      <w:pPr>
        <w:keepNext/>
        <w:keepLines/>
        <w:spacing w:before="240" w:after="240" w:line="360" w:lineRule="exact"/>
        <w:outlineLvl w:val="0"/>
        <w:rPr>
          <w:rFonts w:ascii="Arial" w:eastAsia="Times New Roman" w:hAnsi="Arial" w:cs="Times New Roman"/>
          <w:color w:val="787878"/>
          <w:kern w:val="0"/>
          <w:sz w:val="36"/>
          <w:szCs w:val="32"/>
          <w:lang w:val="en-US"/>
          <w14:ligatures w14:val="none"/>
        </w:rPr>
      </w:pPr>
      <w:bookmarkStart w:id="0" w:name="_Toc161932402"/>
      <w:r w:rsidRPr="001F4644">
        <w:rPr>
          <w:rFonts w:ascii="Arial" w:eastAsia="Times New Roman" w:hAnsi="Arial" w:cs="Times New Roman"/>
          <w:color w:val="787878"/>
          <w:kern w:val="0"/>
          <w:sz w:val="36"/>
          <w:szCs w:val="32"/>
          <w:lang w:val="en-US"/>
          <w14:ligatures w14:val="none"/>
        </w:rPr>
        <w:t>Attachment 1.1</w:t>
      </w:r>
      <w:bookmarkEnd w:id="0"/>
    </w:p>
    <w:p w14:paraId="0720CF7B" w14:textId="77777777" w:rsidR="001F4644" w:rsidRPr="001F4644" w:rsidRDefault="001F4644" w:rsidP="001F4644">
      <w:pPr>
        <w:spacing w:after="120" w:line="360" w:lineRule="exact"/>
        <w:rPr>
          <w:rFonts w:ascii="Arial" w:eastAsia="Arial" w:hAnsi="Arial" w:cs="Times New Roman"/>
          <w:color w:val="0070CD"/>
          <w:kern w:val="0"/>
          <w:sz w:val="28"/>
          <w:lang w:val="en-US"/>
          <w14:ligatures w14:val="none"/>
        </w:rPr>
      </w:pPr>
      <w:r w:rsidRPr="001F4644">
        <w:rPr>
          <w:rFonts w:ascii="Arial" w:eastAsia="Arial" w:hAnsi="Arial" w:cs="Times New Roman"/>
          <w:color w:val="0070CD"/>
          <w:kern w:val="0"/>
          <w:sz w:val="28"/>
          <w:lang w:val="en-US"/>
          <w14:ligatures w14:val="none"/>
        </w:rPr>
        <w:t>Bank reconciliation – Example.</w:t>
      </w:r>
    </w:p>
    <w:p w14:paraId="10C4479A" w14:textId="1A69B5DE" w:rsidR="001F4644" w:rsidRPr="001F4644" w:rsidRDefault="001F4644" w:rsidP="001F4644">
      <w:pPr>
        <w:spacing w:after="120" w:line="300" w:lineRule="exact"/>
        <w:rPr>
          <w:rFonts w:ascii="Arial" w:eastAsia="Arial" w:hAnsi="Arial" w:cs="Times New Roman"/>
          <w:color w:val="787878"/>
          <w:kern w:val="0"/>
          <w:sz w:val="20"/>
          <w14:ligatures w14:val="none"/>
        </w:rPr>
      </w:pPr>
      <w:r w:rsidRPr="001F4644">
        <w:rPr>
          <w:rFonts w:ascii="Arial" w:eastAsia="Arial" w:hAnsi="Arial" w:cs="Times New Roman"/>
          <w:color w:val="787878"/>
          <w:kern w:val="0"/>
          <w:sz w:val="20"/>
          <w14:ligatures w14:val="none"/>
        </w:rPr>
        <w:t xml:space="preserve">This reconciliation must include </w:t>
      </w:r>
      <w:r w:rsidRPr="001F4644">
        <w:rPr>
          <w:rFonts w:ascii="Arial" w:eastAsia="Arial" w:hAnsi="Arial" w:cs="Times New Roman"/>
          <w:b/>
          <w:bCs/>
          <w:color w:val="787878"/>
          <w:kern w:val="0"/>
          <w:sz w:val="20"/>
          <w14:ligatures w14:val="none"/>
        </w:rPr>
        <w:t>all</w:t>
      </w:r>
      <w:r w:rsidRPr="001F4644">
        <w:rPr>
          <w:rFonts w:ascii="Arial" w:eastAsia="Arial" w:hAnsi="Arial" w:cs="Times New Roman"/>
          <w:color w:val="787878"/>
          <w:kern w:val="0"/>
          <w:sz w:val="20"/>
          <w14:ligatures w14:val="none"/>
        </w:rPr>
        <w:t xml:space="preserve"> bank and building society accounts and other short-term investments*. It </w:t>
      </w:r>
      <w:r w:rsidRPr="001F4644">
        <w:rPr>
          <w:rFonts w:ascii="Arial" w:eastAsia="Arial" w:hAnsi="Arial" w:cs="Times New Roman"/>
          <w:b/>
          <w:bCs/>
          <w:color w:val="787878"/>
          <w:kern w:val="0"/>
          <w:sz w:val="20"/>
          <w14:ligatures w14:val="none"/>
        </w:rPr>
        <w:t>must</w:t>
      </w:r>
      <w:r w:rsidRPr="001F4644">
        <w:rPr>
          <w:rFonts w:ascii="Arial" w:eastAsia="Arial" w:hAnsi="Arial" w:cs="Times New Roman"/>
          <w:color w:val="787878"/>
          <w:kern w:val="0"/>
          <w:sz w:val="20"/>
          <w14:ligatures w14:val="none"/>
        </w:rPr>
        <w:t xml:space="preserve"> agree to Box 8 in the column headed “</w:t>
      </w:r>
      <w:r w:rsidRPr="001F4644">
        <w:rPr>
          <w:rFonts w:ascii="Arial" w:eastAsia="Arial" w:hAnsi="Arial" w:cs="Times New Roman"/>
          <w:i/>
          <w:iCs/>
          <w:color w:val="787878"/>
          <w:kern w:val="0"/>
          <w:sz w:val="20"/>
          <w14:ligatures w14:val="none"/>
        </w:rPr>
        <w:t>Year ending 31 March 202</w:t>
      </w:r>
      <w:r w:rsidR="008E60E8">
        <w:rPr>
          <w:rFonts w:ascii="Arial" w:eastAsia="Arial" w:hAnsi="Arial" w:cs="Times New Roman"/>
          <w:i/>
          <w:iCs/>
          <w:color w:val="787878"/>
          <w:kern w:val="0"/>
          <w:sz w:val="20"/>
          <w14:ligatures w14:val="none"/>
        </w:rPr>
        <w:t>5</w:t>
      </w:r>
      <w:r w:rsidRPr="001F4644">
        <w:rPr>
          <w:rFonts w:ascii="Arial" w:eastAsia="Arial" w:hAnsi="Arial" w:cs="Times New Roman"/>
          <w:color w:val="787878"/>
          <w:kern w:val="0"/>
          <w:sz w:val="20"/>
          <w14:ligatures w14:val="none"/>
        </w:rPr>
        <w:t>” in Section 2 of the Annual Return. It will also agree to Box 7 where the accounts are prepared on a receipts and payments (cash) basis, but not when an income and expenditure basis is used.</w:t>
      </w:r>
    </w:p>
    <w:p w14:paraId="54FB8EF9" w14:textId="77777777" w:rsidR="001F4644" w:rsidRPr="001F4644" w:rsidRDefault="001F4644" w:rsidP="001F4644">
      <w:pPr>
        <w:spacing w:after="120" w:line="300" w:lineRule="exact"/>
        <w:rPr>
          <w:rFonts w:ascii="Arial" w:eastAsia="Arial" w:hAnsi="Arial" w:cs="Times New Roman"/>
          <w:color w:val="787878"/>
          <w:kern w:val="0"/>
          <w:sz w:val="20"/>
          <w14:ligatures w14:val="none"/>
        </w:rPr>
      </w:pPr>
    </w:p>
    <w:p w14:paraId="51A8D0DB" w14:textId="72398837" w:rsidR="001F4644" w:rsidRPr="001F4644" w:rsidRDefault="001F4644" w:rsidP="001F4644">
      <w:pPr>
        <w:spacing w:after="120" w:line="300" w:lineRule="exact"/>
        <w:rPr>
          <w:rFonts w:ascii="Arial" w:eastAsia="Arial" w:hAnsi="Arial" w:cs="Times New Roman"/>
          <w:color w:val="787878"/>
          <w:kern w:val="0"/>
          <w:sz w:val="20"/>
          <w14:ligatures w14:val="none"/>
        </w:rPr>
      </w:pPr>
      <w:r w:rsidRPr="001F4644">
        <w:rPr>
          <w:rFonts w:ascii="Arial" w:eastAsia="Arial" w:hAnsi="Arial" w:cs="Times New Roman"/>
          <w:color w:val="787878"/>
          <w:kern w:val="0"/>
          <w:sz w:val="20"/>
          <w14:ligatures w14:val="none"/>
        </w:rPr>
        <w:t xml:space="preserve">Parish Council Name </w:t>
      </w:r>
      <w:r w:rsidR="00ED610B">
        <w:rPr>
          <w:rFonts w:ascii="Arial" w:eastAsia="Arial" w:hAnsi="Arial" w:cs="Times New Roman"/>
          <w:color w:val="787878"/>
          <w:kern w:val="0"/>
          <w:sz w:val="20"/>
          <w14:ligatures w14:val="none"/>
        </w:rPr>
        <w:t>:Dinnington Parish Council</w:t>
      </w:r>
    </w:p>
    <w:p w14:paraId="546138B3" w14:textId="43E062F3" w:rsidR="001F4644" w:rsidRPr="001F4644" w:rsidRDefault="001F4644" w:rsidP="001F4644">
      <w:pPr>
        <w:spacing w:after="120" w:line="300" w:lineRule="exact"/>
        <w:rPr>
          <w:rFonts w:ascii="Arial" w:eastAsia="Arial" w:hAnsi="Arial" w:cs="Times New Roman"/>
          <w:color w:val="787878"/>
          <w:kern w:val="0"/>
          <w:sz w:val="20"/>
          <w14:ligatures w14:val="none"/>
        </w:rPr>
      </w:pPr>
      <w:r w:rsidRPr="001F4644">
        <w:rPr>
          <w:rFonts w:ascii="Arial" w:eastAsia="Arial" w:hAnsi="Arial" w:cs="Times New Roman"/>
          <w:color w:val="787878"/>
          <w:kern w:val="0"/>
          <w:sz w:val="20"/>
          <w14:ligatures w14:val="none"/>
        </w:rPr>
        <w:t>Financial year ending 31 March 202</w:t>
      </w:r>
      <w:r w:rsidR="00751CC0">
        <w:rPr>
          <w:rFonts w:ascii="Arial" w:eastAsia="Arial" w:hAnsi="Arial" w:cs="Times New Roman"/>
          <w:color w:val="787878"/>
          <w:kern w:val="0"/>
          <w:sz w:val="20"/>
          <w14:ligatures w14:val="none"/>
        </w:rPr>
        <w:t>5</w:t>
      </w:r>
    </w:p>
    <w:p w14:paraId="30C90E62" w14:textId="70AFA53B" w:rsidR="001F4644" w:rsidRPr="001F4644" w:rsidRDefault="001F4644" w:rsidP="001F4644">
      <w:pPr>
        <w:spacing w:after="120" w:line="300" w:lineRule="exact"/>
        <w:rPr>
          <w:rFonts w:ascii="Arial" w:eastAsia="Arial" w:hAnsi="Arial" w:cs="Times New Roman"/>
          <w:color w:val="787878"/>
          <w:kern w:val="0"/>
          <w:sz w:val="20"/>
          <w14:ligatures w14:val="none"/>
        </w:rPr>
      </w:pPr>
      <w:r w:rsidRPr="001F4644">
        <w:rPr>
          <w:rFonts w:ascii="Arial" w:eastAsia="Arial" w:hAnsi="Arial" w:cs="Times New Roman"/>
          <w:color w:val="787878"/>
          <w:kern w:val="0"/>
          <w:sz w:val="20"/>
          <w14:ligatures w14:val="none"/>
        </w:rPr>
        <w:t>Prepared by</w:t>
      </w:r>
      <w:r w:rsidR="00ED610B">
        <w:rPr>
          <w:rFonts w:ascii="Arial" w:eastAsia="Arial" w:hAnsi="Arial" w:cs="Times New Roman"/>
          <w:color w:val="787878"/>
          <w:kern w:val="0"/>
          <w:sz w:val="20"/>
          <w14:ligatures w14:val="none"/>
        </w:rPr>
        <w:t xml:space="preserve"> Karon Hadfield, Clerk and RFO</w:t>
      </w:r>
      <w:r w:rsidRPr="001F4644">
        <w:rPr>
          <w:rFonts w:ascii="Arial" w:eastAsia="Arial" w:hAnsi="Arial" w:cs="Times New Roman"/>
          <w:color w:val="787878"/>
          <w:kern w:val="0"/>
          <w:sz w:val="20"/>
          <w14:ligatures w14:val="none"/>
        </w:rPr>
        <w:t xml:space="preserve">   Date_</w:t>
      </w:r>
      <w:r w:rsidR="00751CC0">
        <w:rPr>
          <w:rFonts w:ascii="Arial" w:eastAsia="Arial" w:hAnsi="Arial" w:cs="Times New Roman"/>
          <w:color w:val="787878"/>
          <w:kern w:val="0"/>
          <w:sz w:val="20"/>
          <w14:ligatures w14:val="none"/>
        </w:rPr>
        <w:t>27.04.25</w:t>
      </w:r>
    </w:p>
    <w:p w14:paraId="2C3999E6" w14:textId="77777777" w:rsidR="001F4644" w:rsidRPr="001F4644" w:rsidRDefault="001F4644" w:rsidP="001F4644">
      <w:pPr>
        <w:spacing w:after="120" w:line="300" w:lineRule="exact"/>
        <w:rPr>
          <w:rFonts w:ascii="Arial" w:eastAsia="Arial" w:hAnsi="Arial" w:cs="Times New Roman"/>
          <w:color w:val="787878"/>
          <w:kern w:val="0"/>
          <w:sz w:val="20"/>
          <w14:ligatures w14:val="none"/>
        </w:rPr>
      </w:pPr>
    </w:p>
    <w:tbl>
      <w:tblPr>
        <w:tblStyle w:val="TableGridLight1"/>
        <w:tblW w:w="0" w:type="auto"/>
        <w:tblLayout w:type="fixed"/>
        <w:tblLook w:val="0000" w:firstRow="0" w:lastRow="0" w:firstColumn="0" w:lastColumn="0" w:noHBand="0" w:noVBand="0"/>
      </w:tblPr>
      <w:tblGrid>
        <w:gridCol w:w="6204"/>
        <w:gridCol w:w="1134"/>
        <w:gridCol w:w="1182"/>
      </w:tblGrid>
      <w:tr w:rsidR="001F4644" w:rsidRPr="001F4644" w14:paraId="3EA7AFA5" w14:textId="77777777" w:rsidTr="00653EFC">
        <w:tc>
          <w:tcPr>
            <w:tcW w:w="6204" w:type="dxa"/>
          </w:tcPr>
          <w:p w14:paraId="38D1CD4B" w14:textId="6F87601A" w:rsidR="001F4644" w:rsidRPr="001F4644" w:rsidRDefault="001F4644" w:rsidP="001F4644">
            <w:pPr>
              <w:spacing w:after="120"/>
              <w:rPr>
                <w:rFonts w:ascii="Arial" w:eastAsia="Arial" w:hAnsi="Arial" w:cs="Arial"/>
                <w:color w:val="787878"/>
                <w:sz w:val="20"/>
              </w:rPr>
            </w:pPr>
            <w:r w:rsidRPr="001F4644">
              <w:rPr>
                <w:rFonts w:ascii="Arial" w:eastAsia="Arial" w:hAnsi="Arial" w:cs="Arial"/>
                <w:color w:val="787878"/>
                <w:sz w:val="20"/>
              </w:rPr>
              <w:t>Balance per bank statements as at 31 March 202</w:t>
            </w:r>
            <w:r w:rsidR="00751CC0">
              <w:rPr>
                <w:rFonts w:ascii="Arial" w:eastAsia="Arial" w:hAnsi="Arial" w:cs="Arial"/>
                <w:color w:val="787878"/>
                <w:sz w:val="20"/>
              </w:rPr>
              <w:t>5</w:t>
            </w:r>
            <w:r w:rsidRPr="001F4644">
              <w:rPr>
                <w:rFonts w:ascii="Arial" w:eastAsia="Arial" w:hAnsi="Arial" w:cs="Arial"/>
                <w:color w:val="787878"/>
                <w:sz w:val="20"/>
              </w:rPr>
              <w:t>:</w:t>
            </w:r>
          </w:p>
        </w:tc>
        <w:tc>
          <w:tcPr>
            <w:tcW w:w="1134" w:type="dxa"/>
          </w:tcPr>
          <w:p w14:paraId="63BD8DB0" w14:textId="77777777" w:rsidR="001F4644" w:rsidRPr="001F4644" w:rsidRDefault="001F4644" w:rsidP="001F4644">
            <w:pPr>
              <w:spacing w:after="120"/>
              <w:rPr>
                <w:rFonts w:ascii="Arial" w:eastAsia="Arial" w:hAnsi="Arial" w:cs="Arial"/>
                <w:color w:val="787878"/>
                <w:sz w:val="20"/>
              </w:rPr>
            </w:pPr>
            <w:r w:rsidRPr="001F4644">
              <w:rPr>
                <w:rFonts w:ascii="Arial" w:eastAsia="Arial" w:hAnsi="Arial" w:cs="Arial"/>
                <w:color w:val="787878"/>
                <w:sz w:val="20"/>
              </w:rPr>
              <w:t>£</w:t>
            </w:r>
          </w:p>
        </w:tc>
        <w:tc>
          <w:tcPr>
            <w:tcW w:w="1182" w:type="dxa"/>
          </w:tcPr>
          <w:p w14:paraId="79F171CD" w14:textId="77777777" w:rsidR="001F4644" w:rsidRPr="001F4644" w:rsidRDefault="001F4644" w:rsidP="001F4644">
            <w:pPr>
              <w:spacing w:after="120"/>
              <w:rPr>
                <w:rFonts w:ascii="Arial" w:eastAsia="Arial" w:hAnsi="Arial" w:cs="Arial"/>
                <w:color w:val="787878"/>
                <w:sz w:val="20"/>
              </w:rPr>
            </w:pPr>
            <w:r w:rsidRPr="001F4644">
              <w:rPr>
                <w:rFonts w:ascii="Arial" w:eastAsia="Arial" w:hAnsi="Arial" w:cs="Arial"/>
                <w:color w:val="787878"/>
                <w:sz w:val="20"/>
              </w:rPr>
              <w:t>£</w:t>
            </w:r>
          </w:p>
        </w:tc>
      </w:tr>
      <w:tr w:rsidR="001F4644" w:rsidRPr="001F4644" w14:paraId="728A45A7" w14:textId="77777777" w:rsidTr="00653EFC">
        <w:tc>
          <w:tcPr>
            <w:tcW w:w="6204" w:type="dxa"/>
          </w:tcPr>
          <w:p w14:paraId="420A359E" w14:textId="61FA8595" w:rsidR="001F4644" w:rsidRPr="001F4644" w:rsidRDefault="001F4644" w:rsidP="001F4644">
            <w:pPr>
              <w:spacing w:after="120"/>
              <w:rPr>
                <w:rFonts w:ascii="Arial" w:eastAsia="Arial" w:hAnsi="Arial" w:cs="Arial"/>
                <w:color w:val="787878"/>
                <w:sz w:val="20"/>
              </w:rPr>
            </w:pPr>
            <w:r w:rsidRPr="001F4644">
              <w:rPr>
                <w:rFonts w:ascii="Arial" w:eastAsia="Arial" w:hAnsi="Arial" w:cs="Arial"/>
                <w:color w:val="787878"/>
                <w:sz w:val="20"/>
              </w:rPr>
              <w:t>e.g.</w:t>
            </w:r>
            <w:r w:rsidRPr="001F4644">
              <w:rPr>
                <w:rFonts w:ascii="Arial" w:eastAsia="Arial" w:hAnsi="Arial" w:cs="Arial"/>
                <w:color w:val="787878"/>
                <w:sz w:val="20"/>
              </w:rPr>
              <w:tab/>
              <w:t>Current account</w:t>
            </w:r>
            <w:r w:rsidR="00ED610B">
              <w:rPr>
                <w:rFonts w:ascii="Arial" w:eastAsia="Arial" w:hAnsi="Arial" w:cs="Arial"/>
                <w:color w:val="787878"/>
                <w:sz w:val="20"/>
              </w:rPr>
              <w:t xml:space="preserve"> 70327913</w:t>
            </w:r>
          </w:p>
        </w:tc>
        <w:tc>
          <w:tcPr>
            <w:tcW w:w="1134" w:type="dxa"/>
          </w:tcPr>
          <w:p w14:paraId="1CB7BEB9" w14:textId="4212AD23" w:rsidR="001F4644" w:rsidRPr="001F4644" w:rsidRDefault="00751CC0" w:rsidP="001F4644">
            <w:pPr>
              <w:spacing w:after="120"/>
              <w:rPr>
                <w:rFonts w:ascii="Arial" w:eastAsia="Arial" w:hAnsi="Arial" w:cs="Arial"/>
                <w:color w:val="787878"/>
                <w:sz w:val="20"/>
              </w:rPr>
            </w:pPr>
            <w:r>
              <w:rPr>
                <w:rFonts w:ascii="Arial" w:eastAsia="Arial" w:hAnsi="Arial" w:cs="Arial"/>
                <w:color w:val="787878"/>
                <w:sz w:val="20"/>
              </w:rPr>
              <w:t>15,223.32</w:t>
            </w:r>
          </w:p>
        </w:tc>
        <w:tc>
          <w:tcPr>
            <w:tcW w:w="1182" w:type="dxa"/>
          </w:tcPr>
          <w:p w14:paraId="501C8E41" w14:textId="77777777" w:rsidR="001F4644" w:rsidRPr="001F4644" w:rsidRDefault="001F4644" w:rsidP="001F4644">
            <w:pPr>
              <w:spacing w:after="120"/>
              <w:rPr>
                <w:rFonts w:ascii="Arial" w:eastAsia="Arial" w:hAnsi="Arial" w:cs="Arial"/>
                <w:color w:val="787878"/>
                <w:sz w:val="20"/>
              </w:rPr>
            </w:pPr>
          </w:p>
        </w:tc>
      </w:tr>
      <w:tr w:rsidR="001F4644" w:rsidRPr="001F4644" w14:paraId="4F233C7A" w14:textId="77777777" w:rsidTr="00653EFC">
        <w:tc>
          <w:tcPr>
            <w:tcW w:w="6204" w:type="dxa"/>
          </w:tcPr>
          <w:p w14:paraId="3D9F030A" w14:textId="07EEB609" w:rsidR="001F4644" w:rsidRPr="001F4644" w:rsidRDefault="001F4644" w:rsidP="001F4644">
            <w:pPr>
              <w:spacing w:after="120"/>
              <w:rPr>
                <w:rFonts w:ascii="Arial" w:eastAsia="Arial" w:hAnsi="Arial" w:cs="Arial"/>
                <w:color w:val="787878"/>
                <w:sz w:val="20"/>
              </w:rPr>
            </w:pPr>
            <w:r w:rsidRPr="001F4644">
              <w:rPr>
                <w:rFonts w:ascii="Arial" w:eastAsia="Arial" w:hAnsi="Arial" w:cs="Arial"/>
                <w:color w:val="787878"/>
                <w:sz w:val="20"/>
              </w:rPr>
              <w:tab/>
              <w:t>High interest account</w:t>
            </w:r>
            <w:r w:rsidR="00ED610B">
              <w:rPr>
                <w:rFonts w:ascii="Arial" w:eastAsia="Arial" w:hAnsi="Arial" w:cs="Arial"/>
                <w:color w:val="787878"/>
                <w:sz w:val="20"/>
              </w:rPr>
              <w:t xml:space="preserve"> 43708330</w:t>
            </w:r>
          </w:p>
        </w:tc>
        <w:tc>
          <w:tcPr>
            <w:tcW w:w="1134" w:type="dxa"/>
          </w:tcPr>
          <w:p w14:paraId="18447BB7" w14:textId="0970967B" w:rsidR="001F4644" w:rsidRPr="007D2288" w:rsidRDefault="00751CC0" w:rsidP="001F4644">
            <w:pPr>
              <w:spacing w:after="120"/>
              <w:rPr>
                <w:rFonts w:ascii="Arial" w:eastAsia="Arial" w:hAnsi="Arial" w:cs="Arial"/>
                <w:color w:val="787878"/>
                <w:sz w:val="18"/>
                <w:szCs w:val="18"/>
              </w:rPr>
            </w:pPr>
            <w:r>
              <w:rPr>
                <w:rFonts w:ascii="Arial" w:eastAsia="Arial" w:hAnsi="Arial" w:cs="Arial"/>
                <w:color w:val="787878"/>
                <w:sz w:val="18"/>
                <w:szCs w:val="18"/>
              </w:rPr>
              <w:t>134,993.78</w:t>
            </w:r>
          </w:p>
        </w:tc>
        <w:tc>
          <w:tcPr>
            <w:tcW w:w="1182" w:type="dxa"/>
          </w:tcPr>
          <w:p w14:paraId="164AD03C" w14:textId="77777777" w:rsidR="001F4644" w:rsidRPr="001F4644" w:rsidRDefault="001F4644" w:rsidP="001F4644">
            <w:pPr>
              <w:spacing w:after="120"/>
              <w:rPr>
                <w:rFonts w:ascii="Arial" w:eastAsia="Arial" w:hAnsi="Arial" w:cs="Arial"/>
                <w:color w:val="787878"/>
                <w:sz w:val="20"/>
              </w:rPr>
            </w:pPr>
          </w:p>
        </w:tc>
      </w:tr>
      <w:tr w:rsidR="001F4644" w:rsidRPr="001F4644" w14:paraId="1EE9EB3C" w14:textId="77777777" w:rsidTr="00653EFC">
        <w:tc>
          <w:tcPr>
            <w:tcW w:w="6204" w:type="dxa"/>
          </w:tcPr>
          <w:p w14:paraId="15D3F462" w14:textId="77777777" w:rsidR="001F4644" w:rsidRPr="001F4644" w:rsidRDefault="001F4644" w:rsidP="001F4644">
            <w:pPr>
              <w:spacing w:after="120"/>
              <w:rPr>
                <w:rFonts w:ascii="Arial" w:eastAsia="Arial" w:hAnsi="Arial" w:cs="Arial"/>
                <w:color w:val="787878"/>
                <w:sz w:val="20"/>
              </w:rPr>
            </w:pPr>
            <w:r w:rsidRPr="001F4644">
              <w:rPr>
                <w:rFonts w:ascii="Arial" w:eastAsia="Arial" w:hAnsi="Arial" w:cs="Arial"/>
                <w:color w:val="787878"/>
                <w:sz w:val="20"/>
              </w:rPr>
              <w:tab/>
              <w:t xml:space="preserve">Building society premium a/c </w:t>
            </w:r>
          </w:p>
        </w:tc>
        <w:tc>
          <w:tcPr>
            <w:tcW w:w="1134" w:type="dxa"/>
          </w:tcPr>
          <w:p w14:paraId="7F5301D4" w14:textId="77777777" w:rsidR="001F4644" w:rsidRPr="001F4644" w:rsidRDefault="001F4644" w:rsidP="001F4644">
            <w:pPr>
              <w:spacing w:after="120"/>
              <w:rPr>
                <w:rFonts w:ascii="Arial" w:eastAsia="Arial" w:hAnsi="Arial" w:cs="Arial"/>
                <w:color w:val="787878"/>
                <w:sz w:val="20"/>
              </w:rPr>
            </w:pPr>
          </w:p>
        </w:tc>
        <w:tc>
          <w:tcPr>
            <w:tcW w:w="1182" w:type="dxa"/>
          </w:tcPr>
          <w:p w14:paraId="2E7A24FE" w14:textId="77777777" w:rsidR="001F4644" w:rsidRPr="001F4644" w:rsidRDefault="001F4644" w:rsidP="001F4644">
            <w:pPr>
              <w:spacing w:after="120"/>
              <w:rPr>
                <w:rFonts w:ascii="Arial" w:eastAsia="Arial" w:hAnsi="Arial" w:cs="Arial"/>
                <w:color w:val="787878"/>
                <w:sz w:val="20"/>
              </w:rPr>
            </w:pPr>
          </w:p>
        </w:tc>
      </w:tr>
      <w:tr w:rsidR="001F4644" w:rsidRPr="001F4644" w14:paraId="06666E64" w14:textId="77777777" w:rsidTr="00653EFC">
        <w:tc>
          <w:tcPr>
            <w:tcW w:w="6204" w:type="dxa"/>
          </w:tcPr>
          <w:p w14:paraId="0EF210CD" w14:textId="77777777" w:rsidR="001F4644" w:rsidRPr="001F4644" w:rsidRDefault="001F4644" w:rsidP="001F4644">
            <w:pPr>
              <w:spacing w:after="120"/>
              <w:rPr>
                <w:rFonts w:ascii="Arial" w:eastAsia="Arial" w:hAnsi="Arial" w:cs="Arial"/>
                <w:color w:val="787878"/>
                <w:sz w:val="20"/>
              </w:rPr>
            </w:pPr>
          </w:p>
        </w:tc>
        <w:tc>
          <w:tcPr>
            <w:tcW w:w="1134" w:type="dxa"/>
          </w:tcPr>
          <w:p w14:paraId="777B3E31" w14:textId="77777777" w:rsidR="001F4644" w:rsidRPr="001F4644" w:rsidRDefault="001F4644" w:rsidP="001F4644">
            <w:pPr>
              <w:spacing w:after="120"/>
              <w:rPr>
                <w:rFonts w:ascii="Arial" w:eastAsia="Arial" w:hAnsi="Arial" w:cs="Arial"/>
                <w:color w:val="787878"/>
                <w:sz w:val="20"/>
              </w:rPr>
            </w:pPr>
          </w:p>
        </w:tc>
        <w:tc>
          <w:tcPr>
            <w:tcW w:w="1182" w:type="dxa"/>
          </w:tcPr>
          <w:p w14:paraId="4E0DE712" w14:textId="77777777" w:rsidR="001F4644" w:rsidRPr="001F4644" w:rsidRDefault="001F4644" w:rsidP="001F4644">
            <w:pPr>
              <w:spacing w:after="120"/>
              <w:rPr>
                <w:rFonts w:ascii="Arial" w:eastAsia="Arial" w:hAnsi="Arial" w:cs="Arial"/>
                <w:color w:val="787878"/>
                <w:sz w:val="20"/>
              </w:rPr>
            </w:pPr>
          </w:p>
        </w:tc>
      </w:tr>
      <w:tr w:rsidR="001F4644" w:rsidRPr="001F4644" w14:paraId="2D3ED79C" w14:textId="77777777" w:rsidTr="00653EFC">
        <w:tc>
          <w:tcPr>
            <w:tcW w:w="6204" w:type="dxa"/>
          </w:tcPr>
          <w:p w14:paraId="22A5A56E" w14:textId="77777777" w:rsidR="001F4644" w:rsidRPr="001F4644" w:rsidRDefault="001F4644" w:rsidP="001F4644">
            <w:pPr>
              <w:spacing w:after="120"/>
              <w:rPr>
                <w:rFonts w:ascii="Arial" w:eastAsia="Arial" w:hAnsi="Arial" w:cs="Arial"/>
                <w:color w:val="787878"/>
                <w:sz w:val="20"/>
              </w:rPr>
            </w:pPr>
            <w:r w:rsidRPr="001F4644">
              <w:rPr>
                <w:rFonts w:ascii="Arial" w:eastAsia="Arial" w:hAnsi="Arial" w:cs="Arial"/>
                <w:color w:val="787878"/>
                <w:sz w:val="20"/>
              </w:rPr>
              <w:t>Petty cash float (if applicable)</w:t>
            </w:r>
          </w:p>
        </w:tc>
        <w:tc>
          <w:tcPr>
            <w:tcW w:w="1134" w:type="dxa"/>
          </w:tcPr>
          <w:p w14:paraId="47C84227" w14:textId="77777777" w:rsidR="001F4644" w:rsidRPr="001F4644" w:rsidRDefault="001F4644" w:rsidP="001F4644">
            <w:pPr>
              <w:spacing w:after="120"/>
              <w:rPr>
                <w:rFonts w:ascii="Arial" w:eastAsia="Arial" w:hAnsi="Arial" w:cs="Arial"/>
                <w:color w:val="787878"/>
                <w:sz w:val="20"/>
              </w:rPr>
            </w:pPr>
          </w:p>
        </w:tc>
        <w:tc>
          <w:tcPr>
            <w:tcW w:w="1182" w:type="dxa"/>
          </w:tcPr>
          <w:p w14:paraId="689EC029" w14:textId="77777777" w:rsidR="001F4644" w:rsidRPr="001F4644" w:rsidRDefault="001F4644" w:rsidP="001F4644">
            <w:pPr>
              <w:spacing w:after="120"/>
              <w:rPr>
                <w:rFonts w:ascii="Arial" w:eastAsia="Arial" w:hAnsi="Arial" w:cs="Arial"/>
                <w:color w:val="787878"/>
                <w:sz w:val="20"/>
              </w:rPr>
            </w:pPr>
          </w:p>
        </w:tc>
      </w:tr>
      <w:tr w:rsidR="001F4644" w:rsidRPr="001F4644" w14:paraId="3D62F8B0" w14:textId="77777777" w:rsidTr="00653EFC">
        <w:tc>
          <w:tcPr>
            <w:tcW w:w="6204" w:type="dxa"/>
          </w:tcPr>
          <w:p w14:paraId="5EE25908" w14:textId="06FF51A8" w:rsidR="001F4644" w:rsidRPr="001F4644" w:rsidRDefault="001F4644" w:rsidP="001F4644">
            <w:pPr>
              <w:spacing w:after="120"/>
              <w:rPr>
                <w:rFonts w:ascii="Arial" w:eastAsia="Arial" w:hAnsi="Arial" w:cs="Arial"/>
                <w:color w:val="787878"/>
                <w:sz w:val="20"/>
              </w:rPr>
            </w:pPr>
            <w:r w:rsidRPr="001F4644">
              <w:rPr>
                <w:rFonts w:ascii="Arial" w:eastAsia="Arial" w:hAnsi="Arial" w:cs="Arial"/>
                <w:color w:val="787878"/>
                <w:sz w:val="20"/>
              </w:rPr>
              <w:t>Less: any unpresented cheques at 31 March 202</w:t>
            </w:r>
            <w:r w:rsidR="00751CC0">
              <w:rPr>
                <w:rFonts w:ascii="Arial" w:eastAsia="Arial" w:hAnsi="Arial" w:cs="Arial"/>
                <w:color w:val="787878"/>
                <w:sz w:val="20"/>
              </w:rPr>
              <w:t>5</w:t>
            </w:r>
            <w:r w:rsidRPr="001F4644">
              <w:rPr>
                <w:rFonts w:ascii="Arial" w:eastAsia="Arial" w:hAnsi="Arial" w:cs="Arial"/>
                <w:color w:val="787878"/>
                <w:sz w:val="20"/>
              </w:rPr>
              <w:t xml:space="preserve"> (normally only current account) </w:t>
            </w:r>
          </w:p>
        </w:tc>
        <w:tc>
          <w:tcPr>
            <w:tcW w:w="1134" w:type="dxa"/>
          </w:tcPr>
          <w:p w14:paraId="2C7E6E2F" w14:textId="77777777" w:rsidR="001F4644" w:rsidRPr="001F4644" w:rsidRDefault="001F4644" w:rsidP="001F4644">
            <w:pPr>
              <w:spacing w:after="120"/>
              <w:rPr>
                <w:rFonts w:ascii="Arial" w:eastAsia="Arial" w:hAnsi="Arial" w:cs="Arial"/>
                <w:color w:val="787878"/>
                <w:sz w:val="20"/>
              </w:rPr>
            </w:pPr>
          </w:p>
        </w:tc>
        <w:tc>
          <w:tcPr>
            <w:tcW w:w="1182" w:type="dxa"/>
          </w:tcPr>
          <w:p w14:paraId="0955D898" w14:textId="77777777" w:rsidR="001F4644" w:rsidRPr="001F4644" w:rsidRDefault="001F4644" w:rsidP="001F4644">
            <w:pPr>
              <w:spacing w:after="120"/>
              <w:rPr>
                <w:rFonts w:ascii="Arial" w:eastAsia="Arial" w:hAnsi="Arial" w:cs="Arial"/>
                <w:color w:val="787878"/>
                <w:sz w:val="20"/>
              </w:rPr>
            </w:pPr>
          </w:p>
        </w:tc>
      </w:tr>
      <w:tr w:rsidR="001F4644" w:rsidRPr="001F4644" w14:paraId="23224450" w14:textId="77777777" w:rsidTr="00653EFC">
        <w:tc>
          <w:tcPr>
            <w:tcW w:w="6204" w:type="dxa"/>
          </w:tcPr>
          <w:p w14:paraId="18EB5DFE" w14:textId="22B80C2B" w:rsidR="001F4644" w:rsidRPr="001F4644" w:rsidRDefault="001F4644" w:rsidP="00751CC0">
            <w:pPr>
              <w:spacing w:after="120"/>
              <w:rPr>
                <w:rFonts w:ascii="Arial" w:eastAsia="Arial" w:hAnsi="Arial" w:cs="Arial"/>
                <w:color w:val="787878"/>
                <w:sz w:val="20"/>
              </w:rPr>
            </w:pPr>
            <w:r w:rsidRPr="001F4644">
              <w:rPr>
                <w:rFonts w:ascii="Arial" w:eastAsia="Arial" w:hAnsi="Arial" w:cs="Arial"/>
                <w:color w:val="787878"/>
                <w:sz w:val="20"/>
              </w:rPr>
              <w:t xml:space="preserve">   </w:t>
            </w:r>
          </w:p>
        </w:tc>
        <w:tc>
          <w:tcPr>
            <w:tcW w:w="1134" w:type="dxa"/>
          </w:tcPr>
          <w:p w14:paraId="3F46194C" w14:textId="697E9C46" w:rsidR="001F4644" w:rsidRPr="001F4644" w:rsidRDefault="001F4644" w:rsidP="001F4644">
            <w:pPr>
              <w:spacing w:after="120"/>
              <w:rPr>
                <w:rFonts w:ascii="Arial" w:eastAsia="Arial" w:hAnsi="Arial" w:cs="Arial"/>
                <w:color w:val="787878"/>
                <w:sz w:val="20"/>
              </w:rPr>
            </w:pPr>
          </w:p>
        </w:tc>
        <w:tc>
          <w:tcPr>
            <w:tcW w:w="1182" w:type="dxa"/>
          </w:tcPr>
          <w:p w14:paraId="7F455D89" w14:textId="77777777" w:rsidR="001F4644" w:rsidRPr="001F4644" w:rsidRDefault="001F4644" w:rsidP="001F4644">
            <w:pPr>
              <w:spacing w:after="120"/>
              <w:rPr>
                <w:rFonts w:ascii="Arial" w:eastAsia="Arial" w:hAnsi="Arial" w:cs="Arial"/>
                <w:color w:val="787878"/>
                <w:sz w:val="20"/>
              </w:rPr>
            </w:pPr>
          </w:p>
        </w:tc>
      </w:tr>
      <w:tr w:rsidR="001F4644" w:rsidRPr="001F4644" w14:paraId="37FCCBC5" w14:textId="77777777" w:rsidTr="00653EFC">
        <w:tc>
          <w:tcPr>
            <w:tcW w:w="6204" w:type="dxa"/>
          </w:tcPr>
          <w:p w14:paraId="74A36822" w14:textId="77777777" w:rsidR="001F4644" w:rsidRPr="001F4644" w:rsidRDefault="001F4644" w:rsidP="001F4644">
            <w:pPr>
              <w:spacing w:after="120"/>
              <w:rPr>
                <w:rFonts w:ascii="Arial" w:eastAsia="Arial" w:hAnsi="Arial" w:cs="Arial"/>
                <w:color w:val="787878"/>
                <w:sz w:val="20"/>
              </w:rPr>
            </w:pPr>
          </w:p>
        </w:tc>
        <w:tc>
          <w:tcPr>
            <w:tcW w:w="1134" w:type="dxa"/>
          </w:tcPr>
          <w:p w14:paraId="3BDECD99" w14:textId="77777777" w:rsidR="001F4644" w:rsidRPr="001F4644" w:rsidRDefault="001F4644" w:rsidP="001F4644">
            <w:pPr>
              <w:spacing w:after="120"/>
              <w:rPr>
                <w:rFonts w:ascii="Arial" w:eastAsia="Arial" w:hAnsi="Arial" w:cs="Arial"/>
                <w:color w:val="787878"/>
                <w:sz w:val="20"/>
              </w:rPr>
            </w:pPr>
          </w:p>
        </w:tc>
        <w:tc>
          <w:tcPr>
            <w:tcW w:w="1182" w:type="dxa"/>
          </w:tcPr>
          <w:p w14:paraId="6D823A20" w14:textId="77777777" w:rsidR="001F4644" w:rsidRPr="001F4644" w:rsidRDefault="001F4644" w:rsidP="001F4644">
            <w:pPr>
              <w:spacing w:after="120"/>
              <w:rPr>
                <w:rFonts w:ascii="Arial" w:eastAsia="Arial" w:hAnsi="Arial" w:cs="Arial"/>
                <w:color w:val="787878"/>
                <w:sz w:val="20"/>
              </w:rPr>
            </w:pPr>
          </w:p>
        </w:tc>
      </w:tr>
      <w:tr w:rsidR="001F4644" w:rsidRPr="001F4644" w14:paraId="60B954FE" w14:textId="77777777" w:rsidTr="00653EFC">
        <w:tc>
          <w:tcPr>
            <w:tcW w:w="6204" w:type="dxa"/>
          </w:tcPr>
          <w:p w14:paraId="78221F00" w14:textId="1D26E7B0" w:rsidR="001F4644" w:rsidRPr="001F4644" w:rsidRDefault="001F4644" w:rsidP="001F4644">
            <w:pPr>
              <w:spacing w:after="120"/>
              <w:rPr>
                <w:rFonts w:ascii="Arial" w:eastAsia="Arial" w:hAnsi="Arial" w:cs="Arial"/>
                <w:color w:val="787878"/>
                <w:sz w:val="20"/>
              </w:rPr>
            </w:pPr>
            <w:r w:rsidRPr="001F4644">
              <w:rPr>
                <w:rFonts w:ascii="Arial" w:eastAsia="Arial" w:hAnsi="Arial" w:cs="Arial"/>
                <w:color w:val="787878"/>
                <w:sz w:val="20"/>
              </w:rPr>
              <w:t>Add: any un-banked cash at 31 March 202</w:t>
            </w:r>
            <w:r w:rsidR="00751CC0">
              <w:rPr>
                <w:rFonts w:ascii="Arial" w:eastAsia="Arial" w:hAnsi="Arial" w:cs="Arial"/>
                <w:color w:val="787878"/>
                <w:sz w:val="20"/>
              </w:rPr>
              <w:t>5</w:t>
            </w:r>
          </w:p>
        </w:tc>
        <w:tc>
          <w:tcPr>
            <w:tcW w:w="1134" w:type="dxa"/>
          </w:tcPr>
          <w:p w14:paraId="500C4C6B" w14:textId="77777777" w:rsidR="001F4644" w:rsidRPr="001F4644" w:rsidRDefault="001F4644" w:rsidP="001F4644">
            <w:pPr>
              <w:spacing w:after="120"/>
              <w:rPr>
                <w:rFonts w:ascii="Arial" w:eastAsia="Arial" w:hAnsi="Arial" w:cs="Arial"/>
                <w:color w:val="787878"/>
                <w:sz w:val="20"/>
              </w:rPr>
            </w:pPr>
          </w:p>
        </w:tc>
        <w:tc>
          <w:tcPr>
            <w:tcW w:w="1182" w:type="dxa"/>
          </w:tcPr>
          <w:p w14:paraId="02DC83CF" w14:textId="77777777" w:rsidR="001F4644" w:rsidRPr="001F4644" w:rsidRDefault="001F4644" w:rsidP="001F4644">
            <w:pPr>
              <w:spacing w:after="120"/>
              <w:rPr>
                <w:rFonts w:ascii="Arial" w:eastAsia="Arial" w:hAnsi="Arial" w:cs="Arial"/>
                <w:color w:val="787878"/>
                <w:sz w:val="20"/>
              </w:rPr>
            </w:pPr>
          </w:p>
        </w:tc>
      </w:tr>
      <w:tr w:rsidR="001F4644" w:rsidRPr="001F4644" w14:paraId="61B9C52B" w14:textId="77777777" w:rsidTr="00653EFC">
        <w:tc>
          <w:tcPr>
            <w:tcW w:w="6204" w:type="dxa"/>
          </w:tcPr>
          <w:p w14:paraId="40FE8857" w14:textId="3E640439" w:rsidR="001F4644" w:rsidRPr="001F4644" w:rsidRDefault="001F4644" w:rsidP="001F4644">
            <w:pPr>
              <w:spacing w:after="120"/>
              <w:rPr>
                <w:rFonts w:ascii="Arial" w:eastAsia="Arial" w:hAnsi="Arial" w:cs="Arial"/>
                <w:color w:val="787878"/>
                <w:sz w:val="20"/>
              </w:rPr>
            </w:pPr>
            <w:r w:rsidRPr="001F4644">
              <w:rPr>
                <w:rFonts w:ascii="Arial" w:eastAsia="Arial" w:hAnsi="Arial" w:cs="Arial"/>
                <w:color w:val="787878"/>
                <w:sz w:val="20"/>
              </w:rPr>
              <w:tab/>
              <w:t>e.g. Allotment rents banked 31 March 202</w:t>
            </w:r>
            <w:r w:rsidR="00751CC0">
              <w:rPr>
                <w:rFonts w:ascii="Arial" w:eastAsia="Arial" w:hAnsi="Arial" w:cs="Arial"/>
                <w:color w:val="787878"/>
                <w:sz w:val="20"/>
              </w:rPr>
              <w:t>5</w:t>
            </w:r>
            <w:r w:rsidRPr="001F4644">
              <w:rPr>
                <w:rFonts w:ascii="Arial" w:eastAsia="Arial" w:hAnsi="Arial" w:cs="Arial"/>
                <w:color w:val="787878"/>
                <w:sz w:val="20"/>
              </w:rPr>
              <w:t xml:space="preserve"> (but not  </w:t>
            </w:r>
            <w:r w:rsidRPr="001F4644">
              <w:rPr>
                <w:rFonts w:ascii="Arial" w:eastAsia="Arial" w:hAnsi="Arial" w:cs="Arial"/>
                <w:color w:val="787878"/>
                <w:sz w:val="20"/>
              </w:rPr>
              <w:tab/>
              <w:t>credited until 1 April 202</w:t>
            </w:r>
            <w:r w:rsidR="00751CC0">
              <w:rPr>
                <w:rFonts w:ascii="Arial" w:eastAsia="Arial" w:hAnsi="Arial" w:cs="Arial"/>
                <w:color w:val="787878"/>
                <w:sz w:val="20"/>
              </w:rPr>
              <w:t>5</w:t>
            </w:r>
            <w:r w:rsidRPr="001F4644">
              <w:rPr>
                <w:rFonts w:ascii="Arial" w:eastAsia="Arial" w:hAnsi="Arial" w:cs="Arial"/>
                <w:color w:val="787878"/>
                <w:sz w:val="20"/>
              </w:rPr>
              <w:t>)</w:t>
            </w:r>
          </w:p>
        </w:tc>
        <w:tc>
          <w:tcPr>
            <w:tcW w:w="1134" w:type="dxa"/>
          </w:tcPr>
          <w:p w14:paraId="7FC149F1" w14:textId="77777777" w:rsidR="001F4644" w:rsidRPr="001F4644" w:rsidRDefault="001F4644" w:rsidP="001F4644">
            <w:pPr>
              <w:spacing w:after="120"/>
              <w:rPr>
                <w:rFonts w:ascii="Arial" w:eastAsia="Arial" w:hAnsi="Arial" w:cs="Arial"/>
                <w:color w:val="787878"/>
                <w:sz w:val="20"/>
              </w:rPr>
            </w:pPr>
          </w:p>
          <w:p w14:paraId="353EA8AC" w14:textId="77777777" w:rsidR="001F4644" w:rsidRPr="001F4644" w:rsidRDefault="001F4644" w:rsidP="001F4644">
            <w:pPr>
              <w:spacing w:after="120"/>
              <w:rPr>
                <w:rFonts w:ascii="Arial" w:eastAsia="Arial" w:hAnsi="Arial" w:cs="Arial"/>
                <w:color w:val="787878"/>
                <w:sz w:val="20"/>
              </w:rPr>
            </w:pPr>
          </w:p>
        </w:tc>
        <w:tc>
          <w:tcPr>
            <w:tcW w:w="1182" w:type="dxa"/>
          </w:tcPr>
          <w:p w14:paraId="3FD9ADB8" w14:textId="77777777" w:rsidR="001F4644" w:rsidRPr="001F4644" w:rsidRDefault="001F4644" w:rsidP="001F4644">
            <w:pPr>
              <w:spacing w:after="120"/>
              <w:rPr>
                <w:rFonts w:ascii="Arial" w:eastAsia="Arial" w:hAnsi="Arial" w:cs="Arial"/>
                <w:color w:val="787878"/>
                <w:sz w:val="20"/>
              </w:rPr>
            </w:pPr>
          </w:p>
          <w:p w14:paraId="1CEA4084" w14:textId="77777777" w:rsidR="001F4644" w:rsidRPr="001F4644" w:rsidRDefault="001F4644" w:rsidP="001F4644">
            <w:pPr>
              <w:spacing w:after="120"/>
              <w:rPr>
                <w:rFonts w:ascii="Arial" w:eastAsia="Arial" w:hAnsi="Arial" w:cs="Arial"/>
                <w:color w:val="787878"/>
                <w:sz w:val="20"/>
              </w:rPr>
            </w:pPr>
          </w:p>
        </w:tc>
      </w:tr>
      <w:tr w:rsidR="001F4644" w:rsidRPr="001F4644" w14:paraId="27EF4A12" w14:textId="77777777" w:rsidTr="00653EFC">
        <w:tc>
          <w:tcPr>
            <w:tcW w:w="6204" w:type="dxa"/>
          </w:tcPr>
          <w:p w14:paraId="2ECDEBD2" w14:textId="77777777" w:rsidR="001F4644" w:rsidRPr="001F4644" w:rsidRDefault="001F4644" w:rsidP="001F4644">
            <w:pPr>
              <w:spacing w:after="120"/>
              <w:rPr>
                <w:rFonts w:ascii="Arial" w:eastAsia="Arial" w:hAnsi="Arial" w:cs="Arial"/>
                <w:color w:val="787878"/>
                <w:sz w:val="20"/>
              </w:rPr>
            </w:pPr>
          </w:p>
          <w:p w14:paraId="2CDCB207" w14:textId="6E85012B" w:rsidR="001F4644" w:rsidRPr="001F4644" w:rsidRDefault="001F4644" w:rsidP="001F4644">
            <w:pPr>
              <w:spacing w:after="120"/>
              <w:rPr>
                <w:rFonts w:ascii="Arial" w:eastAsia="Arial" w:hAnsi="Arial" w:cs="Arial"/>
                <w:color w:val="787878"/>
                <w:sz w:val="20"/>
              </w:rPr>
            </w:pPr>
            <w:r w:rsidRPr="001F4644">
              <w:rPr>
                <w:rFonts w:ascii="Arial" w:eastAsia="Arial" w:hAnsi="Arial" w:cs="Arial"/>
                <w:color w:val="787878"/>
                <w:sz w:val="20"/>
              </w:rPr>
              <w:t>Net balances as at 31 March 202</w:t>
            </w:r>
            <w:r w:rsidR="00751CC0">
              <w:rPr>
                <w:rFonts w:ascii="Arial" w:eastAsia="Arial" w:hAnsi="Arial" w:cs="Arial"/>
                <w:color w:val="787878"/>
                <w:sz w:val="20"/>
              </w:rPr>
              <w:t>5</w:t>
            </w:r>
          </w:p>
        </w:tc>
        <w:tc>
          <w:tcPr>
            <w:tcW w:w="1134" w:type="dxa"/>
          </w:tcPr>
          <w:p w14:paraId="29A68F1C" w14:textId="4626779D" w:rsidR="001F4644" w:rsidRPr="00B038E0" w:rsidRDefault="007D2288" w:rsidP="001F4644">
            <w:pPr>
              <w:spacing w:after="120"/>
              <w:rPr>
                <w:rFonts w:ascii="Arial" w:eastAsia="Arial" w:hAnsi="Arial" w:cs="Arial"/>
                <w:color w:val="787878"/>
                <w:sz w:val="18"/>
                <w:szCs w:val="18"/>
              </w:rPr>
            </w:pPr>
            <w:r w:rsidRPr="00B038E0">
              <w:rPr>
                <w:rFonts w:ascii="Arial" w:eastAsia="Arial" w:hAnsi="Arial" w:cs="Arial"/>
                <w:color w:val="787878"/>
                <w:sz w:val="18"/>
                <w:szCs w:val="18"/>
              </w:rPr>
              <w:t>150,</w:t>
            </w:r>
            <w:r w:rsidR="00751CC0">
              <w:rPr>
                <w:rFonts w:ascii="Arial" w:eastAsia="Arial" w:hAnsi="Arial" w:cs="Arial"/>
                <w:color w:val="787878"/>
                <w:sz w:val="18"/>
                <w:szCs w:val="18"/>
              </w:rPr>
              <w:t>217.10</w:t>
            </w:r>
          </w:p>
        </w:tc>
        <w:tc>
          <w:tcPr>
            <w:tcW w:w="1182" w:type="dxa"/>
          </w:tcPr>
          <w:p w14:paraId="75CCF378" w14:textId="77777777" w:rsidR="001F4644" w:rsidRPr="001F4644" w:rsidRDefault="001F4644" w:rsidP="001F4644">
            <w:pPr>
              <w:spacing w:after="120"/>
              <w:rPr>
                <w:rFonts w:ascii="Arial" w:eastAsia="Arial" w:hAnsi="Arial" w:cs="Arial"/>
                <w:color w:val="787878"/>
                <w:sz w:val="20"/>
              </w:rPr>
            </w:pPr>
          </w:p>
          <w:p w14:paraId="52A53BAD" w14:textId="77777777" w:rsidR="001F4644" w:rsidRPr="001F4644" w:rsidRDefault="001F4644" w:rsidP="001F4644">
            <w:pPr>
              <w:spacing w:after="120"/>
              <w:rPr>
                <w:rFonts w:ascii="Arial" w:eastAsia="Arial" w:hAnsi="Arial" w:cs="Arial"/>
                <w:color w:val="787878"/>
                <w:sz w:val="20"/>
              </w:rPr>
            </w:pPr>
          </w:p>
        </w:tc>
      </w:tr>
      <w:tr w:rsidR="001F4644" w:rsidRPr="001F4644" w14:paraId="121DC7C1" w14:textId="77777777" w:rsidTr="00653EFC">
        <w:tc>
          <w:tcPr>
            <w:tcW w:w="6204" w:type="dxa"/>
          </w:tcPr>
          <w:p w14:paraId="21F94F6F" w14:textId="77777777" w:rsidR="001F4644" w:rsidRPr="001F4644" w:rsidRDefault="001F4644" w:rsidP="001F4644">
            <w:pPr>
              <w:spacing w:after="120"/>
              <w:rPr>
                <w:rFonts w:ascii="Arial" w:eastAsia="Arial" w:hAnsi="Arial" w:cs="Arial"/>
                <w:color w:val="787878"/>
                <w:sz w:val="20"/>
              </w:rPr>
            </w:pPr>
          </w:p>
        </w:tc>
        <w:tc>
          <w:tcPr>
            <w:tcW w:w="1134" w:type="dxa"/>
          </w:tcPr>
          <w:p w14:paraId="74692652" w14:textId="77777777" w:rsidR="001F4644" w:rsidRPr="001F4644" w:rsidRDefault="001F4644" w:rsidP="001F4644">
            <w:pPr>
              <w:spacing w:after="120"/>
              <w:rPr>
                <w:rFonts w:ascii="Arial" w:eastAsia="Arial" w:hAnsi="Arial" w:cs="Arial"/>
                <w:color w:val="787878"/>
                <w:sz w:val="20"/>
              </w:rPr>
            </w:pPr>
          </w:p>
        </w:tc>
        <w:tc>
          <w:tcPr>
            <w:tcW w:w="1182" w:type="dxa"/>
          </w:tcPr>
          <w:p w14:paraId="00EFFF32" w14:textId="77777777" w:rsidR="001F4644" w:rsidRPr="001F4644" w:rsidRDefault="001F4644" w:rsidP="001F4644">
            <w:pPr>
              <w:spacing w:after="120"/>
              <w:rPr>
                <w:rFonts w:ascii="Arial" w:eastAsia="Arial" w:hAnsi="Arial" w:cs="Arial"/>
                <w:color w:val="787878"/>
                <w:sz w:val="20"/>
              </w:rPr>
            </w:pPr>
          </w:p>
        </w:tc>
      </w:tr>
      <w:tr w:rsidR="001F4644" w:rsidRPr="001F4644" w14:paraId="584A7BF2" w14:textId="77777777" w:rsidTr="00653EFC">
        <w:tc>
          <w:tcPr>
            <w:tcW w:w="8520" w:type="dxa"/>
            <w:gridSpan w:val="3"/>
          </w:tcPr>
          <w:p w14:paraId="1B84FF7F" w14:textId="77777777" w:rsidR="001F4644" w:rsidRPr="001F4644" w:rsidRDefault="001F4644" w:rsidP="001F4644">
            <w:pPr>
              <w:spacing w:after="120"/>
              <w:rPr>
                <w:rFonts w:ascii="Arial" w:eastAsia="Arial" w:hAnsi="Arial" w:cs="Arial"/>
                <w:b/>
                <w:i/>
                <w:color w:val="787878"/>
                <w:sz w:val="20"/>
              </w:rPr>
            </w:pPr>
            <w:r w:rsidRPr="001F4644">
              <w:rPr>
                <w:rFonts w:ascii="Arial" w:eastAsia="Arial" w:hAnsi="Arial" w:cs="Arial"/>
                <w:b/>
                <w:i/>
                <w:color w:val="787878"/>
                <w:sz w:val="20"/>
              </w:rPr>
              <w:t>The net balances reconcile to the Cash Book (a receipts and payments account, which should be maintained even if your authority uses income and expenditure accounting) for the year, as follows:</w:t>
            </w:r>
          </w:p>
        </w:tc>
      </w:tr>
      <w:tr w:rsidR="001F4644" w:rsidRPr="001F4644" w14:paraId="633A9732" w14:textId="77777777" w:rsidTr="00653EFC">
        <w:tc>
          <w:tcPr>
            <w:tcW w:w="6204" w:type="dxa"/>
          </w:tcPr>
          <w:p w14:paraId="3C81DC14" w14:textId="77777777" w:rsidR="001F4644" w:rsidRPr="001F4644" w:rsidRDefault="001F4644" w:rsidP="001F4644">
            <w:pPr>
              <w:spacing w:after="120" w:line="300" w:lineRule="exact"/>
              <w:rPr>
                <w:rFonts w:ascii="Arial" w:eastAsia="Arial" w:hAnsi="Arial" w:cs="Times New Roman"/>
                <w:color w:val="787878"/>
                <w:sz w:val="20"/>
              </w:rPr>
            </w:pPr>
            <w:r w:rsidRPr="001F4644">
              <w:rPr>
                <w:rFonts w:ascii="Arial" w:eastAsia="Arial" w:hAnsi="Arial" w:cs="Times New Roman"/>
                <w:color w:val="787878"/>
                <w:sz w:val="20"/>
              </w:rPr>
              <w:t>CASH BOOK</w:t>
            </w:r>
          </w:p>
          <w:p w14:paraId="4C25F41D" w14:textId="2165EA08" w:rsidR="001F4644" w:rsidRPr="001F4644" w:rsidRDefault="001F4644" w:rsidP="001F4644">
            <w:pPr>
              <w:spacing w:after="120"/>
              <w:rPr>
                <w:rFonts w:ascii="Arial" w:eastAsia="Arial" w:hAnsi="Arial" w:cs="Arial"/>
                <w:color w:val="787878"/>
                <w:sz w:val="20"/>
              </w:rPr>
            </w:pPr>
            <w:r w:rsidRPr="001F4644">
              <w:rPr>
                <w:rFonts w:ascii="Arial" w:eastAsia="Arial" w:hAnsi="Arial" w:cs="Arial"/>
                <w:color w:val="787878"/>
                <w:sz w:val="20"/>
              </w:rPr>
              <w:t>Opening Balance 1 April 202</w:t>
            </w:r>
            <w:r w:rsidR="00751CC0">
              <w:rPr>
                <w:rFonts w:ascii="Arial" w:eastAsia="Arial" w:hAnsi="Arial" w:cs="Arial"/>
                <w:color w:val="787878"/>
                <w:sz w:val="20"/>
              </w:rPr>
              <w:t>4</w:t>
            </w:r>
          </w:p>
          <w:p w14:paraId="6712DFE3" w14:textId="77777777" w:rsidR="001F4644" w:rsidRPr="001F4644" w:rsidRDefault="001F4644" w:rsidP="001F4644">
            <w:pPr>
              <w:spacing w:after="120"/>
              <w:rPr>
                <w:rFonts w:ascii="Arial" w:eastAsia="Arial" w:hAnsi="Arial" w:cs="Arial"/>
                <w:color w:val="787878"/>
                <w:sz w:val="20"/>
              </w:rPr>
            </w:pPr>
            <w:r w:rsidRPr="001F4644">
              <w:rPr>
                <w:rFonts w:ascii="Arial" w:eastAsia="Arial" w:hAnsi="Arial" w:cs="Arial"/>
                <w:color w:val="787878"/>
                <w:sz w:val="20"/>
              </w:rPr>
              <w:t xml:space="preserve">Add: Receipts in the year </w:t>
            </w:r>
          </w:p>
          <w:p w14:paraId="5A24021F" w14:textId="77777777" w:rsidR="001F4644" w:rsidRPr="001F4644" w:rsidRDefault="001F4644" w:rsidP="001F4644">
            <w:pPr>
              <w:spacing w:after="120"/>
              <w:rPr>
                <w:rFonts w:ascii="Arial" w:eastAsia="Arial" w:hAnsi="Arial" w:cs="Arial"/>
                <w:color w:val="787878"/>
                <w:sz w:val="20"/>
              </w:rPr>
            </w:pPr>
            <w:r w:rsidRPr="001F4644">
              <w:rPr>
                <w:rFonts w:ascii="Arial" w:eastAsia="Arial" w:hAnsi="Arial" w:cs="Arial"/>
                <w:color w:val="787878"/>
                <w:sz w:val="20"/>
              </w:rPr>
              <w:t>Less: Payments in the year</w:t>
            </w:r>
          </w:p>
        </w:tc>
        <w:tc>
          <w:tcPr>
            <w:tcW w:w="1134" w:type="dxa"/>
          </w:tcPr>
          <w:p w14:paraId="3272465D" w14:textId="77777777" w:rsidR="001F4644" w:rsidRPr="001F4644" w:rsidRDefault="001F4644" w:rsidP="001F4644">
            <w:pPr>
              <w:spacing w:after="120"/>
              <w:jc w:val="right"/>
              <w:rPr>
                <w:rFonts w:ascii="Arial" w:eastAsia="Arial" w:hAnsi="Arial" w:cs="Arial"/>
                <w:color w:val="787878"/>
                <w:sz w:val="20"/>
              </w:rPr>
            </w:pPr>
          </w:p>
        </w:tc>
        <w:tc>
          <w:tcPr>
            <w:tcW w:w="1182" w:type="dxa"/>
          </w:tcPr>
          <w:p w14:paraId="65023539" w14:textId="77777777" w:rsidR="001F4644" w:rsidRPr="001F4644" w:rsidRDefault="001F4644" w:rsidP="001F4644">
            <w:pPr>
              <w:spacing w:after="120"/>
              <w:jc w:val="right"/>
              <w:rPr>
                <w:rFonts w:ascii="Arial" w:eastAsia="Arial" w:hAnsi="Arial" w:cs="Arial"/>
                <w:color w:val="787878"/>
                <w:sz w:val="20"/>
              </w:rPr>
            </w:pPr>
          </w:p>
          <w:p w14:paraId="20C0CAF0" w14:textId="7E6F18A1" w:rsidR="001F4644" w:rsidRPr="006E18DE" w:rsidRDefault="007D2288" w:rsidP="001F4644">
            <w:pPr>
              <w:spacing w:after="120"/>
              <w:jc w:val="right"/>
              <w:rPr>
                <w:rFonts w:ascii="Arial" w:eastAsia="Arial" w:hAnsi="Arial" w:cs="Arial"/>
                <w:color w:val="787878"/>
                <w:sz w:val="18"/>
                <w:szCs w:val="18"/>
              </w:rPr>
            </w:pPr>
            <w:r w:rsidRPr="006E18DE">
              <w:rPr>
                <w:rFonts w:ascii="Arial" w:eastAsia="Arial" w:hAnsi="Arial" w:cs="Arial"/>
                <w:color w:val="787878"/>
                <w:sz w:val="18"/>
                <w:szCs w:val="18"/>
              </w:rPr>
              <w:t>1</w:t>
            </w:r>
            <w:r w:rsidR="00751CC0">
              <w:rPr>
                <w:rFonts w:ascii="Arial" w:eastAsia="Arial" w:hAnsi="Arial" w:cs="Arial"/>
                <w:color w:val="787878"/>
                <w:sz w:val="18"/>
                <w:szCs w:val="18"/>
              </w:rPr>
              <w:t>50,934.11</w:t>
            </w:r>
          </w:p>
          <w:p w14:paraId="1F361D00" w14:textId="4644AB16" w:rsidR="001F4644" w:rsidRPr="001F4644" w:rsidRDefault="00751CC0" w:rsidP="001F4644">
            <w:pPr>
              <w:spacing w:after="120"/>
              <w:jc w:val="right"/>
              <w:rPr>
                <w:rFonts w:ascii="Arial" w:eastAsia="Arial" w:hAnsi="Arial" w:cs="Arial"/>
                <w:color w:val="787878"/>
                <w:sz w:val="20"/>
              </w:rPr>
            </w:pPr>
            <w:r>
              <w:rPr>
                <w:rFonts w:ascii="Arial" w:eastAsia="Arial" w:hAnsi="Arial" w:cs="Arial"/>
                <w:color w:val="787878"/>
                <w:sz w:val="20"/>
              </w:rPr>
              <w:t>15,207.12</w:t>
            </w:r>
          </w:p>
          <w:p w14:paraId="7A034B3C" w14:textId="2B18FC1E" w:rsidR="001F4644" w:rsidRPr="001F4644" w:rsidRDefault="00751CC0" w:rsidP="001F4644">
            <w:pPr>
              <w:spacing w:after="120"/>
              <w:jc w:val="right"/>
              <w:rPr>
                <w:rFonts w:ascii="Arial" w:eastAsia="Arial" w:hAnsi="Arial" w:cs="Arial"/>
                <w:color w:val="787878"/>
                <w:sz w:val="20"/>
              </w:rPr>
            </w:pPr>
            <w:r>
              <w:rPr>
                <w:rFonts w:ascii="Arial" w:eastAsia="Arial" w:hAnsi="Arial" w:cs="Arial"/>
                <w:color w:val="787878"/>
                <w:sz w:val="20"/>
              </w:rPr>
              <w:t>15,924.13</w:t>
            </w:r>
          </w:p>
          <w:p w14:paraId="6B6A2C83" w14:textId="77777777" w:rsidR="001F4644" w:rsidRPr="001F4644" w:rsidRDefault="001F4644" w:rsidP="001F4644">
            <w:pPr>
              <w:spacing w:after="120"/>
              <w:jc w:val="right"/>
              <w:rPr>
                <w:rFonts w:ascii="Arial" w:eastAsia="Arial" w:hAnsi="Arial" w:cs="Arial"/>
                <w:color w:val="787878"/>
                <w:sz w:val="20"/>
              </w:rPr>
            </w:pPr>
            <w:r w:rsidRPr="001F4644">
              <w:rPr>
                <w:rFonts w:ascii="Arial" w:eastAsia="Arial" w:hAnsi="Arial" w:cs="Arial"/>
                <w:color w:val="787878"/>
                <w:sz w:val="20"/>
              </w:rPr>
              <w:t xml:space="preserve"> </w:t>
            </w:r>
          </w:p>
        </w:tc>
      </w:tr>
      <w:tr w:rsidR="001F4644" w:rsidRPr="001F4644" w14:paraId="34F4F58B" w14:textId="77777777" w:rsidTr="00653EFC">
        <w:tc>
          <w:tcPr>
            <w:tcW w:w="6204" w:type="dxa"/>
          </w:tcPr>
          <w:p w14:paraId="59C751DF" w14:textId="4D6158AA" w:rsidR="001F4644" w:rsidRPr="001F4644" w:rsidRDefault="001F4644" w:rsidP="001F4644">
            <w:pPr>
              <w:spacing w:after="120"/>
              <w:rPr>
                <w:rFonts w:ascii="Arial" w:eastAsia="Arial" w:hAnsi="Arial" w:cs="Arial"/>
                <w:color w:val="787878"/>
                <w:sz w:val="20"/>
              </w:rPr>
            </w:pPr>
            <w:r w:rsidRPr="001F4644">
              <w:rPr>
                <w:rFonts w:ascii="Arial" w:eastAsia="Arial" w:hAnsi="Arial" w:cs="Arial"/>
                <w:color w:val="787878"/>
                <w:sz w:val="20"/>
              </w:rPr>
              <w:t>Closing balance per cash book [receipts and payments book] as at  31 March 202</w:t>
            </w:r>
            <w:r w:rsidR="00751CC0">
              <w:rPr>
                <w:rFonts w:ascii="Arial" w:eastAsia="Arial" w:hAnsi="Arial" w:cs="Arial"/>
                <w:color w:val="787878"/>
                <w:sz w:val="20"/>
              </w:rPr>
              <w:t>5</w:t>
            </w:r>
            <w:r w:rsidRPr="001F4644">
              <w:rPr>
                <w:rFonts w:ascii="Arial" w:eastAsia="Arial" w:hAnsi="Arial" w:cs="Arial"/>
                <w:color w:val="787878"/>
                <w:sz w:val="20"/>
              </w:rPr>
              <w:t xml:space="preserve"> </w:t>
            </w:r>
            <w:r w:rsidRPr="001F4644">
              <w:rPr>
                <w:rFonts w:ascii="Arial" w:eastAsia="Arial" w:hAnsi="Arial" w:cs="Arial"/>
                <w:b/>
                <w:color w:val="787878"/>
                <w:sz w:val="20"/>
              </w:rPr>
              <w:t>(must equal net balances above</w:t>
            </w:r>
            <w:r w:rsidRPr="001F4644">
              <w:rPr>
                <w:rFonts w:ascii="Arial" w:eastAsia="Arial" w:hAnsi="Arial" w:cs="Arial"/>
                <w:color w:val="787878"/>
                <w:sz w:val="20"/>
              </w:rPr>
              <w:t>)</w:t>
            </w:r>
          </w:p>
        </w:tc>
        <w:tc>
          <w:tcPr>
            <w:tcW w:w="1134" w:type="dxa"/>
          </w:tcPr>
          <w:p w14:paraId="4E9CC9C1" w14:textId="77777777" w:rsidR="001F4644" w:rsidRPr="001F4644" w:rsidRDefault="001F4644" w:rsidP="001F4644">
            <w:pPr>
              <w:spacing w:after="120"/>
              <w:jc w:val="right"/>
              <w:rPr>
                <w:rFonts w:ascii="Arial" w:eastAsia="Arial" w:hAnsi="Arial" w:cs="Arial"/>
                <w:color w:val="787878"/>
                <w:sz w:val="20"/>
              </w:rPr>
            </w:pPr>
          </w:p>
        </w:tc>
        <w:tc>
          <w:tcPr>
            <w:tcW w:w="1182" w:type="dxa"/>
          </w:tcPr>
          <w:p w14:paraId="6FF4C09C" w14:textId="7DCFF4AD" w:rsidR="001F4644" w:rsidRPr="00B038E0" w:rsidRDefault="00B038E0" w:rsidP="001F4644">
            <w:pPr>
              <w:spacing w:after="120"/>
              <w:jc w:val="right"/>
              <w:rPr>
                <w:rFonts w:ascii="Arial" w:eastAsia="Arial" w:hAnsi="Arial" w:cs="Arial"/>
                <w:color w:val="787878"/>
                <w:sz w:val="18"/>
                <w:szCs w:val="18"/>
              </w:rPr>
            </w:pPr>
            <w:r w:rsidRPr="00B038E0">
              <w:rPr>
                <w:rFonts w:ascii="Arial" w:eastAsia="Arial" w:hAnsi="Arial" w:cs="Arial"/>
                <w:color w:val="787878"/>
                <w:sz w:val="18"/>
                <w:szCs w:val="18"/>
              </w:rPr>
              <w:t>15</w:t>
            </w:r>
            <w:r w:rsidR="008E60E8">
              <w:rPr>
                <w:rFonts w:ascii="Arial" w:eastAsia="Arial" w:hAnsi="Arial" w:cs="Arial"/>
                <w:color w:val="787878"/>
                <w:sz w:val="18"/>
                <w:szCs w:val="18"/>
              </w:rPr>
              <w:t>0,217.10</w:t>
            </w:r>
          </w:p>
          <w:p w14:paraId="1B8E1629" w14:textId="77777777" w:rsidR="001F4644" w:rsidRPr="001F4644" w:rsidRDefault="001F4644" w:rsidP="001F4644">
            <w:pPr>
              <w:spacing w:after="120"/>
              <w:jc w:val="right"/>
              <w:rPr>
                <w:rFonts w:ascii="Arial" w:eastAsia="Arial" w:hAnsi="Arial" w:cs="Arial"/>
                <w:color w:val="787878"/>
                <w:sz w:val="20"/>
              </w:rPr>
            </w:pPr>
          </w:p>
        </w:tc>
      </w:tr>
    </w:tbl>
    <w:p w14:paraId="68662984" w14:textId="77777777" w:rsidR="001F4644" w:rsidRDefault="001F4644" w:rsidP="001F4644"/>
    <w:sectPr w:rsidR="001F46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644"/>
    <w:rsid w:val="00193A78"/>
    <w:rsid w:val="001F4644"/>
    <w:rsid w:val="006E18DE"/>
    <w:rsid w:val="00751CC0"/>
    <w:rsid w:val="007D2288"/>
    <w:rsid w:val="008E60E8"/>
    <w:rsid w:val="0097256F"/>
    <w:rsid w:val="00B038E0"/>
    <w:rsid w:val="00B72A65"/>
    <w:rsid w:val="00CB4B42"/>
    <w:rsid w:val="00ED6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80CCB"/>
  <w15:chartTrackingRefBased/>
  <w15:docId w15:val="{E67E2698-8825-45BF-BBD5-C95CA1BF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next w:val="TableGridLight"/>
    <w:uiPriority w:val="40"/>
    <w:rsid w:val="001F4644"/>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1F46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224</Words>
  <Characters>1278</Characters>
  <Application>Microsoft Office Word</Application>
  <DocSecurity>0</DocSecurity>
  <Lines>10</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Attachment 1.1</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Karon Hadfield</dc:creator>
  <cp:keywords/>
  <dc:description/>
  <cp:lastModifiedBy>Karon Hadfield</cp:lastModifiedBy>
  <cp:revision>4</cp:revision>
  <cp:lastPrinted>2025-04-29T19:14:00Z</cp:lastPrinted>
  <dcterms:created xsi:type="dcterms:W3CDTF">2025-04-29T18:45:00Z</dcterms:created>
  <dcterms:modified xsi:type="dcterms:W3CDTF">2025-04-29T19:14:00Z</dcterms:modified>
</cp:coreProperties>
</file>