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text" w:leftFromText="180" w:rightFromText="180" w:tblpX="-287" w:tblpY="-788" w:topFromText="0" w:vertAnchor="text"/>
        <w:tblW w:w="9973"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firstRow="1" w:noVBand="1" w:lastRow="0" w:firstColumn="1" w:lastColumn="0" w:noHBand="0" w:val="04a0"/>
      </w:tblPr>
      <w:tblGrid>
        <w:gridCol w:w="561"/>
        <w:gridCol w:w="7745"/>
        <w:gridCol w:w="1052"/>
        <w:gridCol w:w="614"/>
      </w:tblGrid>
      <w:tr>
        <w:trPr>
          <w:trHeight w:val="480"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Heading1"/>
              <w:spacing w:before="240" w:after="0"/>
              <w:rPr>
                <w:rFonts w:eastAsia="Times New Roman"/>
                <w:lang w:eastAsia="en-IE"/>
              </w:rPr>
            </w:pPr>
            <w:r>
              <w:rPr>
                <w:rFonts w:eastAsia="Times New Roman"/>
                <w:lang w:eastAsia="en-IE"/>
              </w:rPr>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color w:val="2F5496" w:themeColor="accent5" w:themeShade="bf"/>
                <w:sz w:val="24"/>
                <w:szCs w:val="24"/>
                <w:lang w:eastAsia="en-IE"/>
              </w:rPr>
            </w:pPr>
            <w:r>
              <w:rPr>
                <w:rFonts w:eastAsia="Times New Roman" w:cs="Arial" w:ascii="Arial" w:hAnsi="Arial"/>
                <w:b/>
                <w:bCs/>
                <w:color w:val="2F5496" w:themeColor="accent5" w:themeShade="bf"/>
                <w:lang w:eastAsia="en-IE"/>
              </w:rPr>
              <w:t>CAMUSCROSS &amp; DUISDALE INITIATIVE</w:t>
            </w:r>
          </w:p>
          <w:p>
            <w:pPr>
              <w:pStyle w:val="Normal"/>
              <w:spacing w:lineRule="auto" w:line="240" w:before="0" w:after="0"/>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p>
            <w:pPr>
              <w:pStyle w:val="Normal"/>
              <w:spacing w:lineRule="auto" w:line="240" w:before="0" w:after="0"/>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Note of meeting held on Monday 8</w:t>
            </w:r>
            <w:r>
              <w:rPr>
                <w:rFonts w:eastAsia="Times New Roman" w:cs="Arial" w:ascii="Arial" w:hAnsi="Arial"/>
                <w:color w:val="2F5496" w:themeColor="accent5" w:themeShade="bf"/>
                <w:vertAlign w:val="superscript"/>
                <w:lang w:eastAsia="en-IE"/>
              </w:rPr>
              <w:t>th</w:t>
            </w:r>
            <w:r>
              <w:rPr>
                <w:rFonts w:eastAsia="Times New Roman" w:cs="Arial" w:ascii="Arial" w:hAnsi="Arial"/>
                <w:color w:val="2F5496" w:themeColor="accent5" w:themeShade="bf"/>
                <w:lang w:eastAsia="en-IE"/>
              </w:rPr>
              <w:t xml:space="preserve"> July 2019, in An Crùbh, 7.30pm.</w:t>
            </w:r>
          </w:p>
          <w:p>
            <w:pPr>
              <w:pStyle w:val="Normal"/>
              <w:spacing w:lineRule="auto" w:line="240" w:before="0" w:after="0"/>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28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en-IE"/>
              </w:rPr>
            </w:pPr>
            <w:r>
              <w:rPr>
                <w:rFonts w:eastAsia="Times New Roman" w:cs="Arial" w:ascii="Arial" w:hAnsi="Arial"/>
                <w:color w:val="000000"/>
                <w:sz w:val="16"/>
                <w:szCs w:val="16"/>
                <w:lang w:eastAsia="en-IE"/>
              </w:rPr>
              <w:t>ITEM</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Arial" w:ascii="Arial" w:hAnsi="Arial"/>
                <w:color w:val="2F5496" w:themeColor="accent5" w:themeShade="bf"/>
                <w:sz w:val="16"/>
                <w:szCs w:val="16"/>
                <w:lang w:eastAsia="en-IE"/>
              </w:rPr>
              <w:t xml:space="preserve">NOTES                        </w:t>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en-IE"/>
              </w:rPr>
            </w:pPr>
            <w:r>
              <w:rPr>
                <w:rFonts w:eastAsia="Times New Roman" w:cs="Arial" w:ascii="Arial" w:hAnsi="Arial"/>
                <w:color w:val="000000"/>
                <w:sz w:val="16"/>
                <w:szCs w:val="16"/>
                <w:lang w:eastAsia="en-IE"/>
              </w:rPr>
              <w:t>ACTION</w:t>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960"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Times New Roman" w:hAnsi="Times New Roman" w:eastAsia="Times New Roman" w:cs="Times New Roman"/>
                <w:sz w:val="24"/>
                <w:szCs w:val="24"/>
                <w:lang w:eastAsia="en-IE"/>
              </w:rPr>
            </w:pPr>
            <w:r>
              <w:rPr>
                <w:rFonts w:eastAsia="Times New Roman" w:cs="Arial" w:ascii="Arial" w:hAnsi="Arial"/>
                <w:b/>
                <w:bCs/>
                <w:color w:val="000000"/>
                <w:lang w:eastAsia="en-IE"/>
              </w:rPr>
              <w:t>1</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Arial" w:ascii="Arial" w:hAnsi="Arial"/>
                <w:b/>
                <w:bCs/>
                <w:color w:val="2F5496" w:themeColor="accent5" w:themeShade="bf"/>
                <w:lang w:eastAsia="en-IE"/>
              </w:rPr>
              <w:t xml:space="preserve">Present: </w:t>
            </w:r>
          </w:p>
          <w:p>
            <w:pPr>
              <w:pStyle w:val="Normal"/>
              <w:spacing w:lineRule="auto" w:line="240" w:before="0" w:after="0"/>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Mark Wringe (MW), Innes Grant (IG), Siusaidh NicNeill (SN), Keith MacKenzie (KM), Eua</w:t>
            </w:r>
            <w:bookmarkStart w:id="0" w:name="_GoBack"/>
            <w:bookmarkEnd w:id="0"/>
            <w:r>
              <w:rPr>
                <w:rFonts w:eastAsia="Times New Roman" w:cs="Arial" w:ascii="Arial" w:hAnsi="Arial"/>
                <w:color w:val="2F5496" w:themeColor="accent5" w:themeShade="bf"/>
                <w:lang w:eastAsia="en-IE"/>
              </w:rPr>
              <w:t>n MacDonald (EW), Michael Rossi (MR);</w:t>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r>
          </w:p>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Arial" w:ascii="Arial" w:hAnsi="Arial"/>
                <w:color w:val="2F5496" w:themeColor="accent5" w:themeShade="bf"/>
                <w:lang w:eastAsia="en-IE"/>
              </w:rPr>
              <w:t>In attendance:  David Collins (DC);</w:t>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Apologies:   Susan Walker (SW), Sharon Campbell (SC);</w:t>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r>
          </w:p>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145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Times New Roman" w:hAnsi="Times New Roman" w:eastAsia="Times New Roman" w:cs="Times New Roman"/>
                <w:sz w:val="24"/>
                <w:szCs w:val="24"/>
                <w:lang w:eastAsia="en-IE"/>
              </w:rPr>
            </w:pPr>
            <w:r>
              <w:rPr>
                <w:rFonts w:eastAsia="Times New Roman" w:cs="Arial" w:ascii="Arial" w:hAnsi="Arial"/>
                <w:b/>
                <w:bCs/>
                <w:color w:val="000000"/>
                <w:lang w:eastAsia="en-IE"/>
              </w:rPr>
              <w:t>2</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Arial" w:ascii="Arial" w:hAnsi="Arial"/>
                <w:b/>
                <w:bCs/>
                <w:color w:val="2F5496" w:themeColor="accent5" w:themeShade="bf"/>
                <w:lang w:eastAsia="en-IE"/>
              </w:rPr>
              <w:t>Minutes and Matters Arising:</w:t>
            </w:r>
            <w:r>
              <w:rPr>
                <w:rFonts w:eastAsia="Times New Roman" w:cs="Arial" w:ascii="Arial" w:hAnsi="Arial"/>
                <w:color w:val="2F5496" w:themeColor="accent5" w:themeShade="bf"/>
                <w:lang w:eastAsia="en-IE"/>
              </w:rPr>
              <w:t>.</w:t>
            </w:r>
          </w:p>
          <w:p>
            <w:pPr>
              <w:pStyle w:val="Normal"/>
              <w:spacing w:lineRule="auto" w:line="240" w:before="0" w:after="0"/>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r>
          </w:p>
          <w:p>
            <w:pPr>
              <w:pStyle w:val="ListParagraph"/>
              <w:numPr>
                <w:ilvl w:val="0"/>
                <w:numId w:val="1"/>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The minutes of the meeting held on the 3</w:t>
            </w:r>
            <w:r>
              <w:rPr>
                <w:rFonts w:eastAsia="Times New Roman" w:cs="Arial" w:ascii="Arial" w:hAnsi="Arial"/>
                <w:color w:val="2F5496" w:themeColor="accent5" w:themeShade="bf"/>
                <w:vertAlign w:val="superscript"/>
                <w:lang w:eastAsia="en-IE"/>
              </w:rPr>
              <w:t>rd</w:t>
            </w:r>
            <w:r>
              <w:rPr>
                <w:rFonts w:eastAsia="Times New Roman" w:cs="Arial" w:ascii="Arial" w:hAnsi="Arial"/>
                <w:color w:val="2F5496" w:themeColor="accent5" w:themeShade="bf"/>
                <w:lang w:eastAsia="en-IE"/>
              </w:rPr>
              <w:t xml:space="preserve"> June 2019 were approved</w:t>
            </w:r>
          </w:p>
          <w:p>
            <w:pPr>
              <w:pStyle w:val="ListParagraph"/>
              <w:numPr>
                <w:ilvl w:val="0"/>
                <w:numId w:val="1"/>
              </w:numPr>
              <w:spacing w:lineRule="auto" w:line="240" w:before="0" w:after="0"/>
              <w:contextualSpacing/>
              <w:jc w:val="both"/>
              <w:rPr>
                <w:rFonts w:ascii="Arial" w:hAnsi="Arial" w:eastAsia="Times New Roman" w:cs="Arial"/>
                <w:bCs/>
                <w:color w:val="2F5496" w:themeColor="accent5" w:themeShade="bf"/>
                <w:lang w:eastAsia="en-IE"/>
              </w:rPr>
            </w:pPr>
            <w:r>
              <w:rPr>
                <w:rFonts w:eastAsia="Times New Roman" w:cs="Arial" w:ascii="Arial" w:hAnsi="Arial"/>
                <w:bCs/>
                <w:color w:val="2F5496" w:themeColor="accent5" w:themeShade="bf"/>
                <w:lang w:eastAsia="en-IE"/>
              </w:rPr>
              <w:t>Loyalty cards – these are still ongoing due to technical issues.</w:t>
            </w:r>
          </w:p>
          <w:p>
            <w:pPr>
              <w:pStyle w:val="ListParagraph"/>
              <w:numPr>
                <w:ilvl w:val="0"/>
                <w:numId w:val="1"/>
              </w:numPr>
              <w:rPr>
                <w:rFonts w:ascii="Arial" w:hAnsi="Arial" w:eastAsia="Times New Roman" w:cs="Arial"/>
                <w:bCs/>
                <w:color w:val="2F5496" w:themeColor="accent5" w:themeShade="bf"/>
                <w:lang w:eastAsia="en-IE"/>
              </w:rPr>
            </w:pPr>
            <w:r>
              <w:rPr>
                <w:rFonts w:eastAsia="Times New Roman" w:cs="Arial" w:ascii="Arial" w:hAnsi="Arial"/>
                <w:bCs/>
                <w:color w:val="2F5496" w:themeColor="accent5" w:themeShade="bf"/>
                <w:lang w:eastAsia="en-IE"/>
              </w:rPr>
              <w:t>The marketing screen has been installed and the set-up is still ongoing</w:t>
            </w:r>
          </w:p>
          <w:p>
            <w:pPr>
              <w:pStyle w:val="ListParagraph"/>
              <w:numPr>
                <w:ilvl w:val="0"/>
                <w:numId w:val="1"/>
              </w:numPr>
              <w:spacing w:lineRule="auto" w:line="240" w:before="0" w:after="0"/>
              <w:contextualSpacing/>
              <w:jc w:val="both"/>
              <w:rPr>
                <w:rFonts w:ascii="Arial" w:hAnsi="Arial" w:eastAsia="Times New Roman" w:cs="Arial"/>
                <w:bCs/>
                <w:color w:val="2F5496" w:themeColor="accent5" w:themeShade="bf"/>
                <w:lang w:eastAsia="en-IE"/>
              </w:rPr>
            </w:pPr>
            <w:r>
              <w:rPr>
                <w:rFonts w:eastAsia="Times New Roman" w:cs="Arial" w:ascii="Arial" w:hAnsi="Arial"/>
                <w:bCs/>
                <w:color w:val="2F5496" w:themeColor="accent5" w:themeShade="bf"/>
                <w:lang w:eastAsia="en-IE"/>
              </w:rPr>
              <w:t>Hall cleaner – no appointment yet</w:t>
            </w:r>
          </w:p>
          <w:p>
            <w:pPr>
              <w:pStyle w:val="ListParagraph"/>
              <w:numPr>
                <w:ilvl w:val="0"/>
                <w:numId w:val="1"/>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Community kitchen – units have been acquired and should be put up in August when SC is back from holiday</w:t>
            </w:r>
          </w:p>
          <w:p>
            <w:pPr>
              <w:pStyle w:val="ListParagraph"/>
              <w:numPr>
                <w:ilvl w:val="0"/>
                <w:numId w:val="1"/>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There were no further matters arising not otherwise on the agenda.</w:t>
            </w:r>
          </w:p>
          <w:p>
            <w:pPr>
              <w:pStyle w:val="ListParagraph"/>
              <w:spacing w:lineRule="auto" w:line="240" w:before="0" w:after="0"/>
              <w:ind w:left="1080" w:hanging="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24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spacing w:lineRule="auto" w:line="240" w:before="0" w:after="24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spacing w:lineRule="auto" w:line="240" w:before="0" w:after="24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145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Arial" w:hAnsi="Arial" w:eastAsia="Times New Roman" w:cs="Arial"/>
                <w:b/>
                <w:b/>
                <w:bCs/>
                <w:color w:val="000000"/>
                <w:lang w:eastAsia="en-IE"/>
              </w:rPr>
            </w:pPr>
            <w:r>
              <w:rPr>
                <w:rFonts w:eastAsia="Times New Roman" w:cs="Arial" w:ascii="Arial" w:hAnsi="Arial"/>
                <w:b/>
                <w:bCs/>
                <w:color w:val="000000"/>
                <w:lang w:eastAsia="en-IE"/>
              </w:rPr>
              <w:t>3.</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Financial</w:t>
            </w:r>
          </w:p>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p>
            <w:pPr>
              <w:pStyle w:val="ListParagraph"/>
              <w:numPr>
                <w:ilvl w:val="0"/>
                <w:numId w:val="2"/>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RBS unrestricted balance stands at £6,953.78 which is largely made up of hall rental income and deposits for forthcoming weddings.</w:t>
            </w:r>
          </w:p>
          <w:p>
            <w:pPr>
              <w:pStyle w:val="ListParagraph"/>
              <w:numPr>
                <w:ilvl w:val="0"/>
                <w:numId w:val="2"/>
              </w:numPr>
              <w:spacing w:lineRule="auto" w:line="240" w:before="0" w:after="0"/>
              <w:contextualSpacing/>
              <w:jc w:val="both"/>
              <w:rPr>
                <w:color w:val="2F5496" w:themeColor="accent5" w:themeShade="bf"/>
                <w:lang w:eastAsia="en-IE"/>
              </w:rPr>
            </w:pPr>
            <w:r>
              <w:rPr>
                <w:rFonts w:eastAsia="Times New Roman" w:cs="Arial" w:ascii="Arial" w:hAnsi="Arial"/>
                <w:color w:val="2F5496" w:themeColor="accent5" w:themeShade="bf"/>
                <w:lang w:eastAsia="en-IE"/>
              </w:rPr>
              <w:t>The Co-op account stands at £206.67.</w:t>
            </w:r>
          </w:p>
          <w:p>
            <w:pPr>
              <w:pStyle w:val="ListParagraph"/>
              <w:numPr>
                <w:ilvl w:val="0"/>
                <w:numId w:val="2"/>
              </w:numPr>
              <w:spacing w:lineRule="auto" w:line="240" w:before="0" w:after="0"/>
              <w:contextualSpacing/>
              <w:jc w:val="both"/>
              <w:rPr>
                <w:rFonts w:ascii="Arial" w:hAnsi="Arial" w:cs="Arial"/>
                <w:color w:val="2F5496" w:themeColor="accent5" w:themeShade="bf"/>
                <w:lang w:eastAsia="en-IE"/>
              </w:rPr>
            </w:pPr>
            <w:r>
              <w:rPr>
                <w:rFonts w:cs="Arial" w:ascii="Arial" w:hAnsi="Arial"/>
                <w:color w:val="2F5496" w:themeColor="accent5" w:themeShade="bf"/>
                <w:lang w:eastAsia="en-IE"/>
              </w:rPr>
              <w:t>Year 5 revenue funding from the Big Lottery amounting to £10,450 has been received by CDI and passed on to ACL.</w:t>
            </w:r>
          </w:p>
          <w:p>
            <w:pPr>
              <w:pStyle w:val="ListParagraph"/>
              <w:numPr>
                <w:ilvl w:val="0"/>
                <w:numId w:val="2"/>
              </w:numPr>
              <w:spacing w:lineRule="auto" w:line="240" w:before="0" w:after="0"/>
              <w:contextualSpacing/>
              <w:jc w:val="both"/>
              <w:rPr>
                <w:rFonts w:ascii="Arial" w:hAnsi="Arial" w:cs="Arial"/>
                <w:color w:val="2F5496" w:themeColor="accent5" w:themeShade="bf"/>
                <w:lang w:eastAsia="en-IE"/>
              </w:rPr>
            </w:pPr>
            <w:r>
              <w:rPr>
                <w:rFonts w:cs="Arial" w:ascii="Arial" w:hAnsi="Arial"/>
                <w:color w:val="2F5496" w:themeColor="accent5" w:themeShade="bf"/>
                <w:lang w:eastAsia="en-IE"/>
              </w:rPr>
              <w:t>The final payment of revenue funding (£5,775) from the Big Lottery is due in December 2019.</w:t>
            </w:r>
          </w:p>
          <w:p>
            <w:pPr>
              <w:pStyle w:val="ListParagraph"/>
              <w:numPr>
                <w:ilvl w:val="0"/>
                <w:numId w:val="2"/>
              </w:numPr>
              <w:spacing w:lineRule="auto" w:line="240" w:before="0" w:after="0"/>
              <w:contextualSpacing/>
              <w:jc w:val="both"/>
              <w:rPr>
                <w:rFonts w:ascii="Arial" w:hAnsi="Arial" w:cs="Arial"/>
                <w:color w:val="2F5496" w:themeColor="accent5" w:themeShade="bf"/>
                <w:lang w:eastAsia="en-IE"/>
              </w:rPr>
            </w:pPr>
            <w:r>
              <w:rPr>
                <w:rFonts w:cs="Arial" w:ascii="Arial" w:hAnsi="Arial"/>
                <w:color w:val="2F5496" w:themeColor="accent5" w:themeShade="bf"/>
                <w:lang w:eastAsia="en-IE"/>
              </w:rPr>
              <w:t>A cheque for £1,000 from the funding raising group was handed over by SN. This was gratefully received and MW said that the continuing work of the fundraising group was very much appreciated.</w:t>
            </w:r>
          </w:p>
          <w:p>
            <w:pPr>
              <w:pStyle w:val="ListParagraph"/>
              <w:numPr>
                <w:ilvl w:val="0"/>
                <w:numId w:val="2"/>
              </w:numPr>
              <w:spacing w:lineRule="auto" w:line="240" w:before="0" w:after="0"/>
              <w:contextualSpacing/>
              <w:jc w:val="both"/>
              <w:rPr>
                <w:rFonts w:ascii="Arial" w:hAnsi="Arial" w:cs="Arial"/>
                <w:color w:val="2F5496" w:themeColor="accent5" w:themeShade="bf"/>
                <w:lang w:eastAsia="en-IE"/>
              </w:rPr>
            </w:pPr>
            <w:r>
              <w:rPr>
                <w:rFonts w:cs="Arial" w:ascii="Arial" w:hAnsi="Arial"/>
                <w:color w:val="2F5496" w:themeColor="accent5" w:themeShade="bf"/>
                <w:lang w:eastAsia="en-IE"/>
              </w:rPr>
              <w:t>Contingency fund – MW noted the intention to build up a contingency fund for work and repairs to An Crùbh and it was agreed to initially place £500 into that fund.</w:t>
            </w:r>
          </w:p>
          <w:p>
            <w:pPr>
              <w:pStyle w:val="ListParagraph"/>
              <w:numPr>
                <w:ilvl w:val="0"/>
                <w:numId w:val="2"/>
              </w:numPr>
              <w:spacing w:lineRule="auto" w:line="240" w:before="0" w:after="0"/>
              <w:contextualSpacing/>
              <w:jc w:val="both"/>
              <w:rPr>
                <w:rFonts w:ascii="Arial" w:hAnsi="Arial" w:cs="Arial"/>
                <w:color w:val="2F5496" w:themeColor="accent5" w:themeShade="bf"/>
                <w:lang w:eastAsia="en-IE"/>
              </w:rPr>
            </w:pPr>
            <w:r>
              <w:rPr>
                <w:rFonts w:cs="Arial" w:ascii="Arial" w:hAnsi="Arial"/>
                <w:color w:val="2F5496" w:themeColor="accent5" w:themeShade="bf"/>
                <w:lang w:eastAsia="en-IE"/>
              </w:rPr>
              <w:t>Meeting with ACL board – it was agreed that a meeting with the ACL board should be arranged, hopefully in September, to discuss finances and the exchange of financial information.</w:t>
            </w:r>
          </w:p>
          <w:p>
            <w:pPr>
              <w:pStyle w:val="Normal"/>
              <w:rPr>
                <w:rFonts w:ascii="Arial" w:hAnsi="Arial" w:cs="Arial"/>
                <w:lang w:eastAsia="en-IE"/>
              </w:rPr>
            </w:pPr>
            <w:r>
              <w:rPr>
                <w:rFonts w:cs="Arial" w:ascii="Arial" w:hAnsi="Arial"/>
                <w:lang w:eastAsia="en-IE"/>
              </w:rPr>
            </w:r>
          </w:p>
          <w:p>
            <w:pPr>
              <w:pStyle w:val="ListParagraph"/>
              <w:spacing w:lineRule="auto" w:line="240" w:before="0" w:after="0"/>
              <w:ind w:left="1080" w:hanging="0"/>
              <w:contextualSpacing/>
              <w:jc w:val="both"/>
              <w:rPr>
                <w:rFonts w:ascii="Arial" w:hAnsi="Arial" w:eastAsia="Times New Roman" w:cs="Arial"/>
                <w:bCs/>
                <w:color w:val="000000"/>
                <w:lang w:eastAsia="en-IE"/>
              </w:rPr>
            </w:pPr>
            <w:r>
              <w:rPr>
                <w:rFonts w:eastAsia="Times New Roman" w:cs="Arial" w:ascii="Arial" w:hAnsi="Arial"/>
                <w:bCs/>
                <w:color w:val="000000"/>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24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p>
            <w:pPr>
              <w:pStyle w:val="Normal"/>
              <w:widowControl/>
              <w:bidi w:val="0"/>
              <w:spacing w:lineRule="auto" w:line="259" w:before="0" w:after="160"/>
              <w:jc w:val="left"/>
              <w:rPr>
                <w:rFonts w:ascii="Arial" w:hAnsi="Arial" w:eastAsia="Times New Roman" w:cs="Arial"/>
                <w:sz w:val="24"/>
                <w:szCs w:val="24"/>
                <w:lang w:eastAsia="en-IE"/>
              </w:rPr>
            </w:pPr>
            <w:r>
              <w:rPr>
                <w:rFonts w:eastAsia="Times New Roman" w:cs="Arial" w:ascii="Arial" w:hAnsi="Arial"/>
                <w:sz w:val="24"/>
                <w:szCs w:val="24"/>
                <w:lang w:eastAsia="en-IE"/>
              </w:rPr>
              <w:t>SN</w:t>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190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t>4</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Co-opting new directors</w:t>
            </w:r>
          </w:p>
          <w:p>
            <w:pPr>
              <w:pStyle w:val="Normal"/>
              <w:spacing w:lineRule="auto" w:line="240" w:before="0" w:after="0"/>
              <w:jc w:val="both"/>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p>
            <w:pPr>
              <w:pStyle w:val="ListParagraph"/>
              <w:numPr>
                <w:ilvl w:val="0"/>
                <w:numId w:val="3"/>
              </w:numPr>
              <w:spacing w:lineRule="auto" w:line="240" w:before="0" w:after="0"/>
              <w:contextualSpacing/>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 xml:space="preserve">MW reported that both EM and MR had confirmed their agreement to be co-opted to the board and it was agreed that their </w:t>
            </w:r>
            <w:r>
              <w:rPr>
                <w:rFonts w:eastAsia="Times New Roman" w:cs="Arial" w:ascii="Arial" w:hAnsi="Arial"/>
                <w:color w:val="1F3864" w:themeColor="accent5" w:themeShade="80"/>
                <w:lang w:eastAsia="en-IE"/>
              </w:rPr>
              <w:t>appointments</w:t>
            </w:r>
            <w:r>
              <w:rPr>
                <w:rFonts w:eastAsia="Times New Roman" w:cs="Arial" w:ascii="Arial" w:hAnsi="Arial"/>
                <w:color w:val="2F5496" w:themeColor="accent5" w:themeShade="bf"/>
                <w:lang w:eastAsia="en-IE"/>
              </w:rPr>
              <w:t xml:space="preserve"> should be effective with immediate effect</w:t>
            </w:r>
          </w:p>
          <w:p>
            <w:pPr>
              <w:pStyle w:val="ListParagraph"/>
              <w:numPr>
                <w:ilvl w:val="0"/>
                <w:numId w:val="3"/>
              </w:numPr>
              <w:spacing w:lineRule="auto" w:line="240" w:before="0" w:after="0"/>
              <w:contextualSpacing/>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DC noted that as co-opted directors their appointments terminate at the next AGM.</w:t>
            </w:r>
          </w:p>
          <w:p>
            <w:pPr>
              <w:pStyle w:val="ListParagraph"/>
              <w:numPr>
                <w:ilvl w:val="0"/>
                <w:numId w:val="3"/>
              </w:numPr>
              <w:spacing w:lineRule="auto" w:line="240" w:before="0" w:after="0"/>
              <w:contextualSpacing/>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 xml:space="preserve">DC to completed the registration of the appointments at Companies House </w:t>
            </w:r>
          </w:p>
          <w:p>
            <w:pPr>
              <w:pStyle w:val="Normal"/>
              <w:spacing w:before="0" w:after="160"/>
              <w:rPr>
                <w:lang w:eastAsia="en-IE"/>
              </w:rPr>
            </w:pPr>
            <w:r>
              <w:rPr>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240"/>
              <w:rPr>
                <w:rFonts w:ascii="Arial" w:hAnsi="Arial" w:eastAsia="Times New Roman" w:cs="Arial"/>
                <w:lang w:eastAsia="en-IE"/>
              </w:rPr>
            </w:pPr>
            <w:r>
              <w:rPr>
                <w:rFonts w:eastAsia="Times New Roman" w:cs="Arial" w:ascii="Arial" w:hAnsi="Arial"/>
                <w:lang w:eastAsia="en-IE"/>
              </w:rPr>
              <w:t xml:space="preserve">  </w:t>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t>DC</w:t>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p>
            <w:pPr>
              <w:pStyle w:val="Normal"/>
              <w:spacing w:lineRule="auto" w:line="240" w:before="0" w:after="0"/>
              <w:rPr>
                <w:rFonts w:ascii="Arial" w:hAnsi="Arial" w:eastAsia="Times New Roman" w:cs="Arial"/>
                <w:color w:val="FF0000"/>
                <w:lang w:eastAsia="en-IE"/>
              </w:rPr>
            </w:pPr>
            <w:r>
              <w:rPr>
                <w:rFonts w:eastAsia="Times New Roman" w:cs="Arial" w:ascii="Arial" w:hAnsi="Arial"/>
                <w:color w:val="FF0000"/>
                <w:lang w:eastAsia="en-IE"/>
              </w:rPr>
            </w:r>
          </w:p>
          <w:p>
            <w:pPr>
              <w:pStyle w:val="Normal"/>
              <w:spacing w:lineRule="auto" w:line="240" w:before="0" w:after="0"/>
              <w:rPr>
                <w:rFonts w:ascii="Arial" w:hAnsi="Arial" w:eastAsia="Times New Roman" w:cs="Arial"/>
                <w:lang w:eastAsia="en-IE"/>
              </w:rPr>
            </w:pPr>
            <w:r>
              <w:rPr>
                <w:rFonts w:eastAsia="Times New Roman" w:cs="Arial" w:ascii="Arial" w:hAnsi="Arial"/>
                <w:lang w:eastAsia="en-IE"/>
              </w:rPr>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61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t>5</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Events and fundraising</w:t>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The charity café in Ardvasar - on the 4</w:t>
            </w:r>
            <w:r>
              <w:rPr>
                <w:rFonts w:eastAsia="Times New Roman" w:cs="Arial" w:ascii="Arial" w:hAnsi="Arial"/>
                <w:color w:val="2F5496" w:themeColor="accent5" w:themeShade="bf"/>
                <w:vertAlign w:val="superscript"/>
                <w:lang w:eastAsia="en-IE"/>
              </w:rPr>
              <w:t>th</w:t>
            </w:r>
            <w:r>
              <w:rPr>
                <w:rFonts w:eastAsia="Times New Roman" w:cs="Arial" w:ascii="Arial" w:hAnsi="Arial"/>
                <w:color w:val="2F5496" w:themeColor="accent5" w:themeShade="bf"/>
                <w:lang w:eastAsia="en-IE"/>
              </w:rPr>
              <w:t xml:space="preserve"> July had not been a huge success but nevertheless the money raised had enabled the fundraising group to make the recent donation.</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BBQ – possible community event to be held in September – SN &amp; KM to follow up.</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Charity shop event – to take place in October.</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Co-op Community Fund – SN has applied for this and will know more in October  to help with tarring the disabled spaces</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 xml:space="preserve">Gift Aid Small Donations Scheme – SN is registering CDI for this, and once registration is complete it means that we can claim back 25% of all donations without individuals signing Gift Aid.  This means that the income from the book stalls and any events can be claimed up to £8,000 </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SN is also looking at the Robertson Trust who can fud up to 25% of the cost of ‘re-enhancement’ of projects that have already been funded.</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SN pointed out that when the Big Lottery revenue funding runs out in December CDI may be eligible to apply for further funding.</w:t>
            </w:r>
          </w:p>
          <w:p>
            <w:pPr>
              <w:pStyle w:val="ListParagraph"/>
              <w:numPr>
                <w:ilvl w:val="0"/>
                <w:numId w:val="4"/>
              </w:numPr>
              <w:spacing w:lineRule="auto" w:line="240" w:before="0" w:after="0"/>
              <w:contextualSpacing/>
              <w:jc w:val="both"/>
              <w:rPr>
                <w:rFonts w:ascii="Arial" w:hAnsi="Arial" w:eastAsia="Times New Roman" w:cs="Arial"/>
                <w:color w:val="2F5496" w:themeColor="accent5" w:themeShade="bf"/>
                <w:lang w:eastAsia="en-IE"/>
              </w:rPr>
            </w:pPr>
            <w:r>
              <w:rPr>
                <w:rFonts w:eastAsia="Times New Roman" w:cs="Arial" w:ascii="Arial" w:hAnsi="Arial"/>
                <w:color w:val="2F5496" w:themeColor="accent5" w:themeShade="bf"/>
                <w:lang w:eastAsia="en-IE"/>
              </w:rPr>
              <w:t>It was agreed to look into the possibility of sponsorship to assist with the cost of tarring the access road.</w:t>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rPr>
                <w:rFonts w:ascii="Arial Narrow" w:hAnsi="Arial Narrow" w:eastAsia="Times New Roman" w:cs="Times New Roman"/>
                <w:lang w:eastAsia="en-IE"/>
              </w:rPr>
            </w:pPr>
            <w:r>
              <w:rPr>
                <w:rFonts w:eastAsia="Times New Roman" w:cs="Times New Roman" w:ascii="Arial Narrow" w:hAnsi="Arial Narrow"/>
                <w:lang w:eastAsia="en-IE"/>
              </w:rPr>
              <w:t>SN &amp; KM</w:t>
            </w:r>
          </w:p>
          <w:p>
            <w:pPr>
              <w:pStyle w:val="Normal"/>
              <w:spacing w:before="0" w:after="160"/>
              <w:rPr>
                <w:rFonts w:ascii="Arial Narrow" w:hAnsi="Arial Narrow" w:eastAsia="Times New Roman" w:cs="Times New Roman"/>
                <w:lang w:eastAsia="en-IE"/>
              </w:rPr>
            </w:pPr>
            <w:r>
              <w:rPr>
                <w:rFonts w:eastAsia="Times New Roman" w:cs="Times New Roman" w:ascii="Arial Narrow" w:hAnsi="Arial Narrow"/>
                <w:lang w:eastAsia="en-IE"/>
              </w:rPr>
            </w:r>
          </w:p>
        </w:tc>
        <w:tc>
          <w:tcPr>
            <w:tcW w:w="614" w:type="dxa"/>
            <w:tcBorders/>
            <w:shd w:fill="auto" w:val="clear"/>
            <w:tcMar>
              <w:top w:w="15" w:type="dxa"/>
              <w:left w:w="15" w:type="dxa"/>
              <w:bottom w:w="15" w:type="dxa"/>
              <w:right w:w="15" w:type="dxa"/>
            </w:tcMar>
          </w:tcPr>
          <w:p>
            <w:pPr>
              <w:pStyle w:val="Normal"/>
              <w:widowControl/>
              <w:bidi w:val="0"/>
              <w:spacing w:lineRule="auto" w:line="259" w:before="0" w:after="160"/>
              <w:jc w:val="left"/>
              <w:rPr/>
            </w:pPr>
            <w:r>
              <w:rPr/>
            </w:r>
          </w:p>
        </w:tc>
      </w:tr>
      <w:tr>
        <w:trPr>
          <w:trHeight w:val="629"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t>6</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Business Development Managers Report</w:t>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color w:val="2F5496" w:themeColor="accent5" w:themeShade="bf"/>
                <w:lang w:eastAsia="en-IE"/>
              </w:rPr>
              <w:t>MW noted the BDM’s email report.</w:t>
            </w:r>
          </w:p>
          <w:p>
            <w:pPr>
              <w:pStyle w:val="ListParagraph"/>
              <w:spacing w:lineRule="auto" w:line="240" w:before="0" w:after="0"/>
              <w:ind w:left="1080" w:hanging="0"/>
              <w:contextualSpacing/>
              <w:jc w:val="both"/>
              <w:rPr>
                <w:rFonts w:ascii="Arial" w:hAnsi="Arial" w:eastAsia="Times New Roman" w:cs="Arial"/>
                <w:color w:val="000000"/>
                <w:lang w:eastAsia="en-IE"/>
              </w:rPr>
            </w:pPr>
            <w:r>
              <w:rPr>
                <w:rFonts w:eastAsia="Times New Roman" w:cs="Arial" w:ascii="Arial" w:hAnsi="Arial"/>
                <w:color w:val="000000"/>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c>
          <w:tcPr>
            <w:tcW w:w="614" w:type="dxa"/>
            <w:tcBorders/>
            <w:shd w:fill="auto" w:val="clear"/>
            <w:tcMar>
              <w:top w:w="15" w:type="dxa"/>
              <w:left w:w="15" w:type="dxa"/>
              <w:bottom w:w="15" w:type="dxa"/>
              <w:right w:w="15" w:type="dxa"/>
            </w:tcMar>
            <w:vAlign w:val="cente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r>
      <w:tr>
        <w:trPr>
          <w:trHeight w:val="58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right"/>
              <w:rPr>
                <w:rFonts w:ascii="Arial" w:hAnsi="Arial" w:eastAsia="Times New Roman" w:cs="Arial"/>
                <w:color w:val="000000"/>
                <w:lang w:eastAsia="en-IE"/>
              </w:rPr>
            </w:pPr>
            <w:r>
              <w:rPr>
                <w:rFonts w:eastAsia="Times New Roman" w:cs="Arial" w:ascii="Arial" w:hAnsi="Arial"/>
                <w:color w:val="000000"/>
                <w:lang w:eastAsia="en-IE"/>
              </w:rPr>
              <w:t>7</w:t>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ind w:left="-1062" w:hanging="0"/>
              <w:jc w:val="both"/>
              <w:rPr>
                <w:rFonts w:ascii="Arial" w:hAnsi="Arial" w:eastAsia="Times New Roman" w:cs="Arial"/>
                <w:color w:val="000000"/>
                <w:lang w:eastAsia="en-IE"/>
              </w:rPr>
            </w:pPr>
            <w:r>
              <w:rPr>
                <w:rFonts w:eastAsia="Times New Roman" w:cs="Arial" w:ascii="Arial" w:hAnsi="Arial"/>
                <w:color w:val="000000"/>
                <w:lang w:eastAsia="en-IE"/>
              </w:rPr>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Access Road</w:t>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r>
          </w:p>
          <w:p>
            <w:pPr>
              <w:pStyle w:val="Normal"/>
              <w:widowControl/>
              <w:bidi w:val="0"/>
              <w:spacing w:lineRule="auto" w:line="259" w:before="0" w:after="160"/>
              <w:jc w:val="left"/>
              <w:rPr>
                <w:rFonts w:ascii="Arial" w:hAnsi="Arial" w:eastAsia="Times New Roman" w:cs="Arial"/>
                <w:lang w:eastAsia="en-IE"/>
              </w:rPr>
            </w:pPr>
            <w:r>
              <w:rPr>
                <w:rFonts w:eastAsia="Times New Roman" w:cs="Arial" w:ascii="Arial" w:hAnsi="Arial"/>
                <w:bCs/>
                <w:color w:val="2F5496" w:themeColor="accent5" w:themeShade="bf"/>
                <w:lang w:eastAsia="en-IE"/>
              </w:rPr>
              <w:t>It was agreed that the current condition of the road requires further planings pending funds being available to tar the surface.</w:t>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24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240"/>
              <w:rPr>
                <w:rFonts w:ascii="Arial Narrow" w:hAnsi="Arial Narrow" w:eastAsia="Times New Roman" w:cs="Times New Roman"/>
                <w:lang w:eastAsia="en-IE"/>
              </w:rPr>
            </w:pPr>
            <w:r>
              <w:rPr>
                <w:rFonts w:eastAsia="Times New Roman" w:cs="Times New Roman" w:ascii="Arial Narrow" w:hAnsi="Arial Narrow"/>
                <w:lang w:eastAsia="en-IE"/>
              </w:rPr>
            </w:r>
          </w:p>
        </w:tc>
        <w:tc>
          <w:tcPr>
            <w:tcW w:w="614" w:type="dxa"/>
            <w:tcBorders/>
            <w:shd w:fill="auto" w:val="clear"/>
            <w:tcMar>
              <w:top w:w="15" w:type="dxa"/>
              <w:left w:w="15" w:type="dxa"/>
              <w:bottom w:w="15" w:type="dxa"/>
              <w:right w:w="15" w:type="dxa"/>
            </w:tcMar>
            <w:vAlign w:val="cente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r>
      <w:tr>
        <w:trPr>
          <w:trHeight w:val="585"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Arial" w:hAnsi="Arial" w:eastAsia="Times New Roman" w:cs="Arial"/>
                <w:b/>
                <w:b/>
                <w:bCs/>
                <w:color w:val="000000"/>
                <w:lang w:eastAsia="en-IE"/>
              </w:rPr>
            </w:pPr>
            <w:r>
              <w:rPr>
                <w:rFonts w:eastAsia="Times New Roman" w:cs="Arial" w:ascii="Arial" w:hAnsi="Arial"/>
                <w:b/>
                <w:bCs/>
                <w:color w:val="000000"/>
                <w:lang w:eastAsia="en-IE"/>
              </w:rPr>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AOB</w:t>
            </w:r>
          </w:p>
          <w:p>
            <w:pPr>
              <w:pStyle w:val="Normal"/>
              <w:spacing w:lineRule="auto" w:line="240" w:before="0" w:after="0"/>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r>
          </w:p>
          <w:p>
            <w:pPr>
              <w:pStyle w:val="Normal"/>
              <w:spacing w:lineRule="auto" w:line="240" w:before="0" w:after="0"/>
              <w:jc w:val="both"/>
              <w:rPr>
                <w:rFonts w:ascii="Arial" w:hAnsi="Arial" w:eastAsia="Times New Roman" w:cs="Arial"/>
                <w:bCs/>
                <w:color w:val="2F5496" w:themeColor="accent5" w:themeShade="bf"/>
                <w:lang w:eastAsia="en-IE"/>
              </w:rPr>
            </w:pPr>
            <w:r>
              <w:rPr>
                <w:rFonts w:eastAsia="Times New Roman" w:cs="Arial" w:ascii="Arial" w:hAnsi="Arial"/>
                <w:bCs/>
                <w:color w:val="2F5496" w:themeColor="accent5" w:themeShade="bf"/>
                <w:lang w:eastAsia="en-IE"/>
              </w:rPr>
              <w:t>Thanks to Claire Wylie, Marrion Grant and IG who helped out as marshals at the Highland Cross event in June as part of our commitment for the large donation made by Highland Cross last year..</w:t>
            </w:r>
          </w:p>
          <w:p>
            <w:pPr>
              <w:pStyle w:val="Normal"/>
              <w:spacing w:lineRule="auto" w:line="240" w:before="0" w:after="0"/>
              <w:jc w:val="both"/>
              <w:rPr>
                <w:rFonts w:ascii="Arial" w:hAnsi="Arial" w:eastAsia="Times New Roman" w:cs="Arial"/>
                <w:color w:val="000000"/>
                <w:lang w:eastAsia="en-IE"/>
              </w:rPr>
            </w:pPr>
            <w:r>
              <w:rPr>
                <w:rFonts w:eastAsia="Times New Roman" w:cs="Arial" w:ascii="Arial" w:hAnsi="Arial"/>
                <w:color w:val="000000"/>
                <w:lang w:eastAsia="en-IE"/>
              </w:rPr>
            </w:r>
          </w:p>
          <w:p>
            <w:pPr>
              <w:pStyle w:val="ListParagraph"/>
              <w:spacing w:lineRule="auto" w:line="240" w:before="0" w:after="0"/>
              <w:ind w:left="0" w:hanging="0"/>
              <w:contextualSpacing/>
              <w:jc w:val="both"/>
              <w:rPr>
                <w:rFonts w:ascii="Arial" w:hAnsi="Arial" w:eastAsia="Times New Roman" w:cs="Arial"/>
                <w:b/>
                <w:b/>
                <w:bCs/>
                <w:color w:val="2F5496" w:themeColor="accent5" w:themeShade="bf"/>
                <w:lang w:eastAsia="en-IE"/>
              </w:rPr>
            </w:pPr>
            <w:r>
              <w:rPr>
                <w:rFonts w:eastAsia="Times New Roman" w:cs="Arial" w:ascii="Arial" w:hAnsi="Arial"/>
                <w:b/>
                <w:bCs/>
                <w:color w:val="2F5496" w:themeColor="accent5" w:themeShade="bf"/>
                <w:lang w:eastAsia="en-IE"/>
              </w:rPr>
              <w:t>Date of Next Meeting:</w:t>
            </w:r>
          </w:p>
          <w:p>
            <w:pPr>
              <w:pStyle w:val="ListParagraph"/>
              <w:spacing w:lineRule="auto" w:line="240" w:before="0" w:after="0"/>
              <w:ind w:left="-1062" w:hanging="0"/>
              <w:contextualSpacing/>
              <w:jc w:val="both"/>
              <w:rPr>
                <w:rFonts w:ascii="Times New Roman" w:hAnsi="Times New Roman" w:eastAsia="Times New Roman" w:cs="Times New Roman"/>
                <w:color w:val="2F5496" w:themeColor="accent5" w:themeShade="bf"/>
                <w:sz w:val="24"/>
                <w:szCs w:val="24"/>
                <w:lang w:eastAsia="en-IE"/>
              </w:rPr>
            </w:pPr>
            <w:r>
              <w:rPr>
                <w:rFonts w:eastAsia="Times New Roman" w:cs="Times New Roman" w:ascii="Times New Roman" w:hAnsi="Times New Roman"/>
                <w:color w:val="2F5496" w:themeColor="accent5" w:themeShade="bf"/>
                <w:sz w:val="24"/>
                <w:szCs w:val="24"/>
                <w:lang w:eastAsia="en-IE"/>
              </w:rPr>
            </w:r>
          </w:p>
          <w:p>
            <w:pPr>
              <w:pStyle w:val="Normal"/>
              <w:spacing w:lineRule="auto" w:line="240" w:before="0" w:after="0"/>
              <w:jc w:val="both"/>
              <w:rPr>
                <w:rFonts w:ascii="Arial" w:hAnsi="Arial" w:eastAsia="Times New Roman" w:cs="Arial"/>
                <w:bCs/>
                <w:color w:val="000000"/>
                <w:lang w:eastAsia="en-IE"/>
              </w:rPr>
            </w:pPr>
            <w:r>
              <w:rPr>
                <w:rFonts w:eastAsia="Times New Roman" w:cs="Arial" w:ascii="Arial" w:hAnsi="Arial"/>
                <w:color w:val="2F5496" w:themeColor="accent5" w:themeShade="bf"/>
                <w:lang w:eastAsia="en-IE"/>
              </w:rPr>
              <w:t xml:space="preserve">                  </w:t>
            </w:r>
            <w:r>
              <w:rPr>
                <w:rFonts w:eastAsia="Times New Roman" w:cs="Arial" w:ascii="Arial" w:hAnsi="Arial"/>
                <w:color w:val="2F5496" w:themeColor="accent5" w:themeShade="bf"/>
                <w:lang w:eastAsia="en-IE"/>
              </w:rPr>
              <w:t>To be in September – possibly 2</w:t>
            </w:r>
            <w:r>
              <w:rPr>
                <w:rFonts w:eastAsia="Times New Roman" w:cs="Arial" w:ascii="Arial" w:hAnsi="Arial"/>
                <w:color w:val="2F5496" w:themeColor="accent5" w:themeShade="bf"/>
                <w:vertAlign w:val="superscript"/>
                <w:lang w:eastAsia="en-IE"/>
              </w:rPr>
              <w:t>nd</w:t>
            </w:r>
            <w:r>
              <w:rPr>
                <w:rFonts w:eastAsia="Times New Roman" w:cs="Arial" w:ascii="Arial" w:hAnsi="Arial"/>
                <w:color w:val="2F5496" w:themeColor="accent5" w:themeShade="bf"/>
                <w:lang w:eastAsia="en-IE"/>
              </w:rPr>
              <w:t xml:space="preserve"> September but to be agreed </w:t>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240"/>
              <w:rPr>
                <w:rFonts w:ascii="Arial Narrow" w:hAnsi="Arial Narrow" w:eastAsia="Times New Roman" w:cs="Times New Roman"/>
                <w:color w:val="FF0000"/>
                <w:lang w:eastAsia="en-IE"/>
              </w:rPr>
            </w:pPr>
            <w:r>
              <w:rPr>
                <w:rFonts w:eastAsia="Times New Roman" w:cs="Times New Roman" w:ascii="Arial Narrow" w:hAnsi="Arial Narrow"/>
                <w:color w:val="FF0000"/>
                <w:lang w:eastAsia="en-IE"/>
              </w:rPr>
            </w:r>
          </w:p>
          <w:p>
            <w:pPr>
              <w:pStyle w:val="Normal"/>
              <w:spacing w:lineRule="auto" w:line="240" w:before="0" w:after="240"/>
              <w:rPr>
                <w:rFonts w:ascii="Arial Narrow" w:hAnsi="Arial Narrow" w:eastAsia="Times New Roman" w:cs="Times New Roman"/>
                <w:color w:val="FF0000"/>
                <w:lang w:eastAsia="en-IE"/>
              </w:rPr>
            </w:pPr>
            <w:r>
              <w:rPr>
                <w:rFonts w:eastAsia="Times New Roman" w:cs="Times New Roman" w:ascii="Arial Narrow" w:hAnsi="Arial Narrow"/>
                <w:color w:val="FF0000"/>
                <w:lang w:eastAsia="en-IE"/>
              </w:rPr>
            </w:r>
          </w:p>
          <w:p>
            <w:pPr>
              <w:pStyle w:val="Normal"/>
              <w:spacing w:lineRule="auto" w:line="240" w:before="0" w:after="240"/>
              <w:rPr>
                <w:rFonts w:ascii="Arial Narrow" w:hAnsi="Arial Narrow" w:eastAsia="Times New Roman" w:cs="Times New Roman"/>
                <w:color w:val="FF0000"/>
                <w:lang w:eastAsia="en-IE"/>
              </w:rPr>
            </w:pPr>
            <w:r>
              <w:rPr>
                <w:rFonts w:eastAsia="Times New Roman" w:cs="Times New Roman" w:ascii="Arial Narrow" w:hAnsi="Arial Narrow"/>
                <w:color w:val="FF0000"/>
                <w:lang w:eastAsia="en-IE"/>
              </w:rPr>
            </w:r>
          </w:p>
        </w:tc>
        <w:tc>
          <w:tcPr>
            <w:tcW w:w="614" w:type="dxa"/>
            <w:tcBorders/>
            <w:shd w:fill="auto" w:val="clear"/>
            <w:tcMar>
              <w:top w:w="15" w:type="dxa"/>
              <w:left w:w="15" w:type="dxa"/>
              <w:bottom w:w="15" w:type="dxa"/>
              <w:right w:w="15" w:type="dxa"/>
            </w:tcMar>
            <w:vAlign w:val="cente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r>
      <w:tr>
        <w:trPr>
          <w:trHeight w:val="24" w:hRule="atLeast"/>
        </w:trPr>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Times New Roman" w:hAnsi="Times New Roman" w:eastAsia="Times New Roman" w:cs="Times New Roman"/>
                <w:sz w:val="24"/>
                <w:szCs w:val="24"/>
                <w:lang w:eastAsia="en-IE"/>
              </w:rPr>
            </w:pPr>
            <w:r>
              <w:rPr>
                <w:rFonts w:eastAsia="Times New Roman" w:cs="Times New Roman" w:ascii="Times New Roman" w:hAnsi="Times New Roman"/>
                <w:sz w:val="24"/>
                <w:szCs w:val="24"/>
                <w:lang w:eastAsia="en-IE"/>
              </w:rPr>
            </w:r>
          </w:p>
        </w:tc>
        <w:tc>
          <w:tcPr>
            <w:tcW w:w="7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jc w:val="both"/>
              <w:rPr>
                <w:rFonts w:ascii="Arial" w:hAnsi="Arial" w:eastAsia="Times New Roman" w:cs="Arial"/>
                <w:lang w:eastAsia="en-IE"/>
              </w:rPr>
            </w:pPr>
            <w:r>
              <w:rPr>
                <w:rFonts w:eastAsia="Times New Roman" w:cs="Arial" w:ascii="Arial" w:hAnsi="Arial"/>
                <w:lang w:eastAsia="en-IE"/>
              </w:rPr>
            </w:r>
          </w:p>
        </w:tc>
        <w:tc>
          <w:tcPr>
            <w:tcW w:w="105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b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c>
          <w:tcPr>
            <w:tcW w:w="614" w:type="dxa"/>
            <w:tcBorders/>
            <w:shd w:fill="auto" w:val="clear"/>
            <w:tcMar>
              <w:top w:w="15" w:type="dxa"/>
              <w:left w:w="15" w:type="dxa"/>
              <w:bottom w:w="15" w:type="dxa"/>
              <w:right w:w="15" w:type="dxa"/>
            </w:tcMar>
            <w:vAlign w:val="center"/>
          </w:tcPr>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p>
            <w:pPr>
              <w:pStyle w:val="Normal"/>
              <w:spacing w:lineRule="auto" w:line="240" w:before="0" w:after="0"/>
              <w:rPr>
                <w:rFonts w:ascii="Arial Narrow" w:hAnsi="Arial Narrow" w:eastAsia="Times New Roman" w:cs="Times New Roman"/>
                <w:lang w:eastAsia="en-IE"/>
              </w:rPr>
            </w:pPr>
            <w:r>
              <w:rPr>
                <w:rFonts w:eastAsia="Times New Roman" w:cs="Times New Roman" w:ascii="Arial Narrow" w:hAnsi="Arial Narrow"/>
                <w:lang w:eastAsia="en-IE"/>
              </w:rPr>
            </w:r>
          </w:p>
        </w:tc>
      </w:tr>
    </w:tbl>
    <w:p>
      <w:pPr>
        <w:pStyle w:val="Normal"/>
        <w:spacing w:lineRule="auto" w:line="240" w:before="0" w:after="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Arial Narrow">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Roman"/>
      <w:lvlText w:val="%1."/>
      <w:lvlJc w:val="left"/>
      <w:pPr>
        <w:ind w:left="1092" w:hanging="72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E"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a02bb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E" w:eastAsia="en-US" w:bidi="ar-SA"/>
    </w:rPr>
  </w:style>
  <w:style w:type="paragraph" w:styleId="Heading1">
    <w:name w:val="Heading 1"/>
    <w:basedOn w:val="Normal"/>
    <w:next w:val="Normal"/>
    <w:link w:val="Heading1Char"/>
    <w:uiPriority w:val="9"/>
    <w:qFormat/>
    <w:rsid w:val="00a14e17"/>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a14e17"/>
    <w:rPr>
      <w:rFonts w:ascii="Calibri Light" w:hAnsi="Calibri Light" w:eastAsia="" w:cs="" w:asciiTheme="majorHAnsi" w:cstheme="majorBidi" w:eastAsiaTheme="majorEastAsia" w:hAnsiTheme="majorHAnsi"/>
      <w:color w:val="2E74B5" w:themeColor="accent1" w:themeShade="bf"/>
      <w:sz w:val="32"/>
      <w:szCs w:val="32"/>
    </w:rPr>
  </w:style>
  <w:style w:type="character" w:styleId="HeaderChar" w:customStyle="1">
    <w:name w:val="Header Char"/>
    <w:basedOn w:val="DefaultParagraphFont"/>
    <w:link w:val="Header"/>
    <w:uiPriority w:val="99"/>
    <w:qFormat/>
    <w:rsid w:val="002f04e0"/>
    <w:rPr/>
  </w:style>
  <w:style w:type="character" w:styleId="FooterChar" w:customStyle="1">
    <w:name w:val="Footer Char"/>
    <w:basedOn w:val="DefaultParagraphFont"/>
    <w:link w:val="Footer"/>
    <w:uiPriority w:val="99"/>
    <w:qFormat/>
    <w:rsid w:val="002f04e0"/>
    <w:rPr/>
  </w:style>
  <w:style w:type="character" w:styleId="ListLabel1">
    <w:name w:val="ListLabel 1"/>
    <w:qFormat/>
    <w:rPr>
      <w:sz w:val="22"/>
    </w:rPr>
  </w:style>
  <w:style w:type="character" w:styleId="ListLabel2">
    <w:name w:val="ListLabel 2"/>
    <w:qFormat/>
    <w:rPr>
      <w:sz w:val="22"/>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1c3fd9"/>
    <w:pPr>
      <w:spacing w:lineRule="auto" w:line="240" w:beforeAutospacing="1" w:afterAutospacing="1"/>
    </w:pPr>
    <w:rPr>
      <w:rFonts w:ascii="Times New Roman" w:hAnsi="Times New Roman" w:eastAsia="Times New Roman" w:cs="Times New Roman"/>
      <w:sz w:val="24"/>
      <w:szCs w:val="24"/>
      <w:lang w:eastAsia="en-IE"/>
    </w:rPr>
  </w:style>
  <w:style w:type="paragraph" w:styleId="ListParagraph">
    <w:name w:val="List Paragraph"/>
    <w:basedOn w:val="Normal"/>
    <w:uiPriority w:val="34"/>
    <w:qFormat/>
    <w:rsid w:val="001c3fd9"/>
    <w:pPr>
      <w:spacing w:before="0" w:after="160"/>
      <w:ind w:left="720" w:hanging="0"/>
      <w:contextualSpacing/>
    </w:pPr>
    <w:rPr/>
  </w:style>
  <w:style w:type="paragraph" w:styleId="Header">
    <w:name w:val="Header"/>
    <w:basedOn w:val="Normal"/>
    <w:link w:val="HeaderChar"/>
    <w:uiPriority w:val="99"/>
    <w:unhideWhenUsed/>
    <w:rsid w:val="002f04e0"/>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f04e0"/>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LibreOffice/6.1.6.3$Windows_x86 LibreOffice_project/5896ab1714085361c45cf540f76f60673dd96a72</Application>
  <Pages>3</Pages>
  <Words>655</Words>
  <Characters>3095</Characters>
  <CharactersWithSpaces>3736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2019-09-18T13:32:00Z</dcterms:created>
  <dc:creator>Susan Walker</dc:creator>
  <dc:description/>
  <dc:language>en-GB</dc:language>
  <cp:lastModifiedBy>David Collins</cp:lastModifiedBy>
  <cp:lastPrinted>2019-09-19T20:21:09Z</cp:lastPrinted>
  <dcterms:modified xsi:type="dcterms:W3CDTF">2019-09-18T13:35:00Z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