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Vytrus prevé triplicar sus ventas y alcanzar los 12 millones de euros de facturación en 2027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400040" cy="3601085"/>
            <wp:effectExtent b="0" l="0" r="0" t="0"/>
            <wp:docPr descr="Un hombre en traje parado enfrente de una tienda&#10;&#10;Descripción generada automáticamente" id="4" name="image3.jpg"/>
            <a:graphic>
              <a:graphicData uri="http://schemas.openxmlformats.org/drawingml/2006/picture">
                <pic:pic>
                  <pic:nvPicPr>
                    <pic:cNvPr descr="Un hombre en traje parado enfrente de una tienda&#10;&#10;Descripción generada automáticamente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1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Barcelona, 28 de febrero de 2024.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Vytrus Biotech</w:t>
        </w:r>
      </w:hyperlink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compañía especializada en ingredientes activos derivados de células madre vegetales para la industria cosmética,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publicado su Plan Estratégico para el periodo 2024-2027.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Fruto de la estrategia que marcará el rumbo de la compañía en los próximos 4 años,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biotecnológica prevé multiplicar por 3 sus ventas alcanzando los 12 millones de euros y por 4 su EBITDA hasta los 5 millones de euros en 2027.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Vytrus ya multiplicó por 3 sus ingresos y por 6 su EBITDA desde 2019. Según comenta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Òscar Expósito, cofundador y Director Científico de Vytrus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estamos orgullosos de haber convertido una tecnología disruptiva en un negocio rentable que tiene como ejes la innovación y la sostenibilidad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 pilares para el futuro: multitecnología y mayor cercanía a sus partners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plan estratégico de los próximos años se fundamenta en dos pilares principales. Por un lado,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Vytrus se transformará en una empresa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multi tecnológica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el sector de los ingredientes activos cosméticos.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poder acelerar el crecimiento y llegar a más clientes, la compañía incorporará nuevas tecnologías complementarias a las células madre vegetales con aplicación en el sector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dermocosmético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El equipo de Vytrus lleva años desarrollando internamente algunas de estas tecnologías mientras se mantienen en paralelo conversaciones con terceros para llegar a acuerdos de licencia e inversión que permitirán a la compañía incorporar a su portafolio productos basados en tecnologías innovadoras ya presentes en el mercado cosmético.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otro lado,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Vytrus expandirá y reforzará su actividad comercial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creando relaciones a largo plazo con los clientes y acercando más al mercado las innovaciones de la compañía. La compañía prevé un mix de crecimiento orgánico e inorgánico.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2027, Vytrus estima que el 60% de sus ingresos provendrá del negocio actual de las células madre vegetales y el 40% restante lo aportarán las nuevas tecnologías incorporadas y las adquisiciones realizadas.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 Jané, cofundador y Director de Operaciones de Vytrus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comenta que “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2020 hemos construido un modelo de negocio autosuficiente y destinaremos la financiación del mercado de capitales a la expansión y el crecimiento inorgánico de los próximos 4 años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Expansión comercial internacional y mayor innovación y escala productiva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Vytrus mantendrá su apuesta por la innovación y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estima destinar anualmente al menos 1 millón de euros a la I+D+i, 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asumiendo el equipo científico de la biotecnológica el reto de convertirse en un </w:t>
      </w:r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hub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innovación donde convergerán todas las tecnologías del grupo.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el ámbito comercial,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Vytrus prevé que Europa siga siendo su principal bastión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aunque esperando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ratios de crecimiento superiores en los mercados de Estados Unidos y Asia-Pacífico,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especialmente en India y Corea del Sur, donde la empresa ha alcanzado un buen posicionamiento en los últimos años.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sinergias que se generarán con las adquisiciones asociadas al crecimiento inorgánico son una oportunidad importante para la expansión de los departamentos de operaciones de Vytrus</w:t>
      </w:r>
      <w:r w:rsidDel="00000000" w:rsidR="00000000" w:rsidRPr="00000000"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Vytrus tendrá la capacidad de optimizar estructuras de aprovisionamiento, gestionar de forma más eficiente la logística, así como disponer de más centros de fabricación, en beneficio de sus clientes.</w:t>
      </w:r>
    </w:p>
    <w:p w:rsidR="00000000" w:rsidDel="00000000" w:rsidP="00000000" w:rsidRDefault="00000000" w:rsidRPr="00000000" w14:paraId="00000018">
      <w:pPr>
        <w:spacing w:after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jc w:val="center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Sobre Vytrus Biotech</w:t>
      </w:r>
    </w:p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b w:val="1"/>
          <w:i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18"/>
          <w:szCs w:val="18"/>
          <w:rtl w:val="0"/>
        </w:rPr>
        <w:t xml:space="preserve">Vytrus Biotech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 basa su actividad en la tecnología de cultivo de células madre vegetales, para el desarrollo, la producción y la comercialización de ingredientes activos de alto valor añadido en el sector cosmético. El posicionamiento como empresa pionera en el uso de esta tecnología para fines empresariales da a Vytrus Biotech una sólida base sobre la cual construir una ventaja competitiva sostenible. Con esta tecnología se pueden obtener productos totalmente naturales, con alta eficacia y patentables. Cuenta con un equipo de casi 40 personas en sus instalaciones de Terrassa (Barcelona), siendo la mayoría licenciados o doctores en ciencias de la vida y está presente en Europa, USA, LATAM y Asia a través de su red internacional de distribuidores.</w:t>
      </w:r>
    </w:p>
    <w:p w:rsidR="00000000" w:rsidDel="00000000" w:rsidP="00000000" w:rsidRDefault="00000000" w:rsidRPr="00000000" w14:paraId="0000001D">
      <w:pPr>
        <w:ind w:left="2124" w:firstLine="0"/>
        <w:jc w:val="both"/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18"/>
          <w:szCs w:val="18"/>
          <w:rtl w:val="0"/>
        </w:rPr>
        <w:t xml:space="preserve">La biotecnológica fue galardonada con 7 premios internacionales de innovación en 2023 por su activo Photobiome™, dos Best Ingredient Award en in-cosmetics Latin America y Asia 2022 por su activo Elaya Renova™, doble premio “Mejor ingrediente cosmético del mundo” en in-cosmetics Global 2020 por sus ingredientes Kannabia Sense™ y Deobiome Noni™ y “Mejor Ingrediente cosmético del mundo” en 2019 por su activo Olea Vitae™, entre otros premios a nivel internacional.</w:t>
      </w:r>
    </w:p>
    <w:p w:rsidR="00000000" w:rsidDel="00000000" w:rsidP="00000000" w:rsidRDefault="00000000" w:rsidRPr="00000000" w14:paraId="0000001F">
      <w:pPr>
        <w:ind w:left="2124" w:firstLine="0"/>
        <w:jc w:val="both"/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 Light" w:cs="Helvetica Neue Light" w:eastAsia="Helvetica Neue Light" w:hAnsi="Helvetica Neue Light"/>
          <w:i w:val="1"/>
          <w:color w:val="0563c1"/>
          <w:sz w:val="18"/>
          <w:szCs w:val="18"/>
          <w:u w:val="singl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18"/>
          <w:szCs w:val="18"/>
          <w:rtl w:val="0"/>
        </w:rPr>
        <w:t xml:space="preserve">Web: </w:t>
      </w:r>
      <w:hyperlink r:id="rId8">
        <w:r w:rsidDel="00000000" w:rsidR="00000000" w:rsidRPr="00000000">
          <w:rPr>
            <w:rFonts w:ascii="Helvetica Neue Light" w:cs="Helvetica Neue Light" w:eastAsia="Helvetica Neue Light" w:hAnsi="Helvetica Neue Light"/>
            <w:i w:val="1"/>
            <w:color w:val="0563c1"/>
            <w:sz w:val="18"/>
            <w:szCs w:val="18"/>
            <w:u w:val="single"/>
            <w:rtl w:val="0"/>
          </w:rPr>
          <w:t xml:space="preserve">www.vytrus.com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 Light" w:cs="Helvetica Neue Light" w:eastAsia="Helvetica Neue Light" w:hAnsi="Helvetica Neue Light"/>
          <w:i w:val="1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rPr>
          <w:rFonts w:ascii="Helvetica Neue Light" w:cs="Helvetica Neue Light" w:eastAsia="Helvetica Neue Light" w:hAnsi="Helvetica Neue Light"/>
          <w:i w:val="1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i w:val="1"/>
          <w:sz w:val="18"/>
          <w:szCs w:val="18"/>
          <w:rtl w:val="0"/>
        </w:rPr>
        <w:t xml:space="preserve">LinkedIn: </w:t>
      </w:r>
      <w:hyperlink r:id="rId9">
        <w:r w:rsidDel="00000000" w:rsidR="00000000" w:rsidRPr="00000000">
          <w:rPr>
            <w:rFonts w:ascii="Helvetica Neue Light" w:cs="Helvetica Neue Light" w:eastAsia="Helvetica Neue Light" w:hAnsi="Helvetica Neue Light"/>
            <w:i w:val="1"/>
            <w:color w:val="0563c1"/>
            <w:sz w:val="18"/>
            <w:szCs w:val="18"/>
            <w:u w:val="single"/>
            <w:rtl w:val="0"/>
          </w:rPr>
          <w:t xml:space="preserve">Vytrus Biotech</w:t>
        </w:r>
      </w:hyperlink>
      <w:r w:rsidDel="00000000" w:rsidR="00000000" w:rsidRPr="00000000">
        <w:rPr>
          <w:rFonts w:ascii="Helvetica Neue Light" w:cs="Helvetica Neue Light" w:eastAsia="Helvetica Neue Light" w:hAnsi="Helvetica Neue Light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 Light" w:cs="Helvetica Neue Light" w:eastAsia="Helvetica Neue Light" w:hAnsi="Helvetica Neue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Contacto de prensa</w:t>
      </w:r>
    </w:p>
    <w:p w:rsidR="00000000" w:rsidDel="00000000" w:rsidP="00000000" w:rsidRDefault="00000000" w:rsidRPr="00000000" w14:paraId="00000025">
      <w:pPr>
        <w:jc w:val="center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Carla Magnet: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b w:val="1"/>
            <w:color w:val="0563c1"/>
            <w:sz w:val="18"/>
            <w:szCs w:val="18"/>
            <w:u w:val="single"/>
            <w:rtl w:val="0"/>
          </w:rPr>
          <w:t xml:space="preserve">carla@aboutprstudio.com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 +34 699 90 01 64</w:t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b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Elice Muñoz: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b w:val="1"/>
            <w:color w:val="0563c1"/>
            <w:sz w:val="18"/>
            <w:szCs w:val="18"/>
            <w:u w:val="single"/>
            <w:rtl w:val="0"/>
          </w:rPr>
          <w:t xml:space="preserve">elice@aboutprstudio.com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sz w:val="18"/>
          <w:szCs w:val="18"/>
          <w:rtl w:val="0"/>
        </w:rPr>
        <w:t xml:space="preserve"> +34 655 90 21 88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first"/>
      <w:footerReference r:id="rId14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Sensitivity: C2 Internal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Sensitivity: C2 Internal</w:t>
                          </w:r>
                        </w:p>
                      </w:txbxContent>
                    </wps:txbx>
                    <wps:bodyPr anchorCtr="0" anchor="t" bIns="0" lIns="635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Sensitivity: C2 Internal" id="2" name="image4.png"/>
              <a:graphic>
                <a:graphicData uri="http://schemas.openxmlformats.org/drawingml/2006/picture">
                  <pic:pic>
                    <pic:nvPicPr>
                      <pic:cNvPr descr="Sensitivity: C2 Internal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Sensitivity: C2 Internal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Sensitivity: C2 Internal</w:t>
                          </w:r>
                        </w:p>
                      </w:txbxContent>
                    </wps:txbx>
                    <wps:bodyPr anchorCtr="0" anchor="t" bIns="0" lIns="635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Sensitivity: C2 Internal" id="1" name="image2.png"/>
              <a:graphic>
                <a:graphicData uri="http://schemas.openxmlformats.org/drawingml/2006/picture">
                  <pic:pic>
                    <pic:nvPicPr>
                      <pic:cNvPr descr="Sensitivity: C2 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-245330</wp:posOffset>
          </wp:positionV>
          <wp:extent cx="791528" cy="429052"/>
          <wp:effectExtent b="0" l="0" r="0" t="0"/>
          <wp:wrapSquare wrapText="bothSides" distB="0" distT="0" distL="114300" distR="114300"/>
          <wp:docPr descr="Logotipo&#10;&#10;Descripción generada automáticamente" id="3" name="image1.jp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528" cy="4290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lice@aboutprstudio.com" TargetMode="External"/><Relationship Id="rId10" Type="http://schemas.openxmlformats.org/officeDocument/2006/relationships/hyperlink" Target="mailto:carla@aboutprstudio.com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vytrus-biotech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www.vytrus.com/es/" TargetMode="External"/><Relationship Id="rId8" Type="http://schemas.openxmlformats.org/officeDocument/2006/relationships/hyperlink" Target="http://www.vytru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392645-0898-4cb6-8510-0d4056f5047b_Method">
    <vt:lpwstr>Privileged</vt:lpwstr>
  </property>
  <property fmtid="{D5CDD505-2E9C-101B-9397-08002B2CF9AE}" pid="3" name="MSIP_Label_4a392645-0898-4cb6-8510-0d4056f5047b_ContentBits">
    <vt:lpwstr>2</vt:lpwstr>
  </property>
  <property fmtid="{D5CDD505-2E9C-101B-9397-08002B2CF9AE}" pid="4" name="MediaServiceImageTags">
    <vt:lpwstr>MediaServiceImageTags</vt:lpwstr>
  </property>
  <property fmtid="{D5CDD505-2E9C-101B-9397-08002B2CF9AE}" pid="5" name="MSIP_Label_4a392645-0898-4cb6-8510-0d4056f5047b_Enabled">
    <vt:lpwstr>true</vt:lpwstr>
  </property>
  <property fmtid="{D5CDD505-2E9C-101B-9397-08002B2CF9AE}" pid="6" name="ContentTypeId">
    <vt:lpwstr>0x010100E11D741627BD234B8932D9D50232CABC</vt:lpwstr>
  </property>
  <property fmtid="{D5CDD505-2E9C-101B-9397-08002B2CF9AE}" pid="7" name="ClassificationContentMarkingFooterShapeIds">
    <vt:lpwstr>2,4,5</vt:lpwstr>
  </property>
  <property fmtid="{D5CDD505-2E9C-101B-9397-08002B2CF9AE}" pid="8" name="MSIP_Label_4a392645-0898-4cb6-8510-0d4056f5047b_Name">
    <vt:lpwstr>C2 Internal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Sensitivity: C2 Internal</vt:lpwstr>
  </property>
  <property fmtid="{D5CDD505-2E9C-101B-9397-08002B2CF9AE}" pid="11" name="MSIP_Label_4a392645-0898-4cb6-8510-0d4056f5047b_SetDate">
    <vt:lpwstr>2022-02-24T12:11:50Z</vt:lpwstr>
  </property>
  <property fmtid="{D5CDD505-2E9C-101B-9397-08002B2CF9AE}" pid="12" name="MSIP_Label_4a392645-0898-4cb6-8510-0d4056f5047b_SiteId">
    <vt:lpwstr>faac5f16-6c6a-4379-bf59-205b22f007ec</vt:lpwstr>
  </property>
  <property fmtid="{D5CDD505-2E9C-101B-9397-08002B2CF9AE}" pid="13" name="MSIP_Label_4a392645-0898-4cb6-8510-0d4056f5047b_ActionId">
    <vt:lpwstr>672b7972-e7bd-4fe0-b64e-f070cef207b1</vt:lpwstr>
  </property>
</Properties>
</file>