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A3C" w:rsidRPr="000B162C" w:rsidRDefault="000A482C" w:rsidP="000A482C">
      <w:pPr>
        <w:jc w:val="center"/>
        <w:rPr>
          <w:rFonts w:cstheme="minorHAnsi"/>
          <w:b/>
          <w:sz w:val="36"/>
          <w:szCs w:val="36"/>
          <w:u w:val="single"/>
        </w:rPr>
      </w:pPr>
      <w:bookmarkStart w:id="0" w:name="_GoBack"/>
      <w:bookmarkEnd w:id="0"/>
      <w:r w:rsidRPr="000B162C">
        <w:rPr>
          <w:rFonts w:cstheme="minorHAnsi"/>
          <w:b/>
          <w:sz w:val="36"/>
          <w:szCs w:val="36"/>
          <w:u w:val="single"/>
        </w:rPr>
        <w:t xml:space="preserve">UK </w:t>
      </w:r>
      <w:r w:rsidR="004B6B15" w:rsidRPr="000B162C">
        <w:rPr>
          <w:rFonts w:cstheme="minorHAnsi"/>
          <w:b/>
          <w:sz w:val="36"/>
          <w:szCs w:val="36"/>
          <w:u w:val="single"/>
        </w:rPr>
        <w:t>Economic Forecasting Lesson Plan</w:t>
      </w:r>
    </w:p>
    <w:p w:rsidR="000B162C" w:rsidRPr="000B162C" w:rsidRDefault="000B162C">
      <w:pPr>
        <w:rPr>
          <w:rFonts w:cstheme="minorHAnsi"/>
          <w:b/>
          <w:sz w:val="24"/>
          <w:szCs w:val="24"/>
        </w:rPr>
      </w:pPr>
      <w:r w:rsidRPr="000B162C">
        <w:rPr>
          <w:rFonts w:cstheme="minorHAnsi"/>
          <w:b/>
          <w:sz w:val="24"/>
          <w:szCs w:val="24"/>
        </w:rPr>
        <w:t>Aims:</w:t>
      </w:r>
    </w:p>
    <w:p w:rsidR="000B162C" w:rsidRPr="000B162C" w:rsidRDefault="000B162C" w:rsidP="000B162C">
      <w:pPr>
        <w:pStyle w:val="ListParagraph"/>
        <w:numPr>
          <w:ilvl w:val="0"/>
          <w:numId w:val="2"/>
        </w:numPr>
        <w:rPr>
          <w:rFonts w:cstheme="minorHAnsi"/>
          <w:sz w:val="24"/>
          <w:szCs w:val="24"/>
        </w:rPr>
      </w:pPr>
      <w:r w:rsidRPr="000B162C">
        <w:rPr>
          <w:rFonts w:cstheme="minorHAnsi"/>
          <w:sz w:val="24"/>
          <w:szCs w:val="24"/>
        </w:rPr>
        <w:t>To prepare students to enter the Clash of the Titans forecasting competition</w:t>
      </w:r>
    </w:p>
    <w:p w:rsidR="000B162C" w:rsidRPr="000B162C" w:rsidRDefault="000B162C" w:rsidP="000B162C">
      <w:pPr>
        <w:pStyle w:val="ListParagraph"/>
        <w:numPr>
          <w:ilvl w:val="0"/>
          <w:numId w:val="2"/>
        </w:numPr>
        <w:rPr>
          <w:rFonts w:cstheme="minorHAnsi"/>
          <w:sz w:val="24"/>
          <w:szCs w:val="24"/>
        </w:rPr>
      </w:pPr>
      <w:r w:rsidRPr="000B162C">
        <w:rPr>
          <w:rFonts w:cstheme="minorHAnsi"/>
          <w:sz w:val="24"/>
          <w:szCs w:val="24"/>
        </w:rPr>
        <w:t>To permit the application of theories to the real world</w:t>
      </w:r>
    </w:p>
    <w:p w:rsidR="000B162C" w:rsidRPr="000B162C" w:rsidRDefault="000B162C" w:rsidP="000B162C">
      <w:pPr>
        <w:pStyle w:val="ListParagraph"/>
        <w:numPr>
          <w:ilvl w:val="0"/>
          <w:numId w:val="2"/>
        </w:numPr>
        <w:rPr>
          <w:rFonts w:cstheme="minorHAnsi"/>
          <w:sz w:val="24"/>
          <w:szCs w:val="24"/>
        </w:rPr>
      </w:pPr>
      <w:r w:rsidRPr="000B162C">
        <w:rPr>
          <w:rFonts w:cstheme="minorHAnsi"/>
          <w:sz w:val="24"/>
          <w:szCs w:val="24"/>
        </w:rPr>
        <w:t>To investigate trends in UK economic performance</w:t>
      </w:r>
    </w:p>
    <w:p w:rsidR="000B162C" w:rsidRPr="000B162C" w:rsidRDefault="000B162C" w:rsidP="000B162C">
      <w:pPr>
        <w:pStyle w:val="ListParagraph"/>
        <w:numPr>
          <w:ilvl w:val="0"/>
          <w:numId w:val="2"/>
        </w:numPr>
        <w:rPr>
          <w:rFonts w:cstheme="minorHAnsi"/>
          <w:sz w:val="24"/>
          <w:szCs w:val="24"/>
        </w:rPr>
      </w:pPr>
      <w:r w:rsidRPr="000B162C">
        <w:rPr>
          <w:rFonts w:cstheme="minorHAnsi"/>
          <w:sz w:val="24"/>
          <w:szCs w:val="24"/>
        </w:rPr>
        <w:t>To understand the metrics</w:t>
      </w:r>
    </w:p>
    <w:p w:rsidR="000B162C" w:rsidRPr="000B162C" w:rsidRDefault="000B162C" w:rsidP="000B162C">
      <w:pPr>
        <w:pStyle w:val="ListParagraph"/>
        <w:numPr>
          <w:ilvl w:val="0"/>
          <w:numId w:val="2"/>
        </w:numPr>
        <w:rPr>
          <w:rFonts w:cstheme="minorHAnsi"/>
          <w:sz w:val="24"/>
          <w:szCs w:val="24"/>
        </w:rPr>
      </w:pPr>
      <w:r w:rsidRPr="000B162C">
        <w:rPr>
          <w:rFonts w:cstheme="minorHAnsi"/>
          <w:sz w:val="24"/>
          <w:szCs w:val="24"/>
        </w:rPr>
        <w:t>To gain an understanding of the difficulties economists have in predicting economic performance</w:t>
      </w:r>
    </w:p>
    <w:p w:rsidR="000B162C" w:rsidRPr="000B162C" w:rsidRDefault="000B162C">
      <w:pPr>
        <w:rPr>
          <w:rFonts w:cstheme="minorHAnsi"/>
          <w:b/>
          <w:sz w:val="24"/>
          <w:szCs w:val="24"/>
        </w:rPr>
      </w:pPr>
      <w:r w:rsidRPr="000B162C">
        <w:rPr>
          <w:rFonts w:cstheme="minorHAnsi"/>
          <w:b/>
          <w:sz w:val="24"/>
          <w:szCs w:val="24"/>
        </w:rPr>
        <w:t>Introduction: 10 minutes</w:t>
      </w:r>
    </w:p>
    <w:p w:rsidR="004B6B15" w:rsidRPr="000B162C" w:rsidRDefault="004B6B15">
      <w:pPr>
        <w:rPr>
          <w:rFonts w:cstheme="minorHAnsi"/>
          <w:sz w:val="24"/>
          <w:szCs w:val="24"/>
        </w:rPr>
      </w:pPr>
      <w:r w:rsidRPr="000B162C">
        <w:rPr>
          <w:rFonts w:cstheme="minorHAnsi"/>
          <w:sz w:val="24"/>
          <w:szCs w:val="24"/>
        </w:rPr>
        <w:t>Watch these three videos detailing the prospects for UK Economy in 2018</w:t>
      </w:r>
      <w:r w:rsidR="000D421F" w:rsidRPr="000B162C">
        <w:rPr>
          <w:rFonts w:cstheme="minorHAnsi"/>
          <w:sz w:val="24"/>
          <w:szCs w:val="24"/>
        </w:rPr>
        <w:t>:</w:t>
      </w:r>
    </w:p>
    <w:p w:rsidR="000D421F" w:rsidRPr="000B162C" w:rsidRDefault="000D421F" w:rsidP="000D421F">
      <w:pPr>
        <w:rPr>
          <w:rFonts w:cstheme="minorHAnsi"/>
          <w:sz w:val="24"/>
          <w:szCs w:val="24"/>
        </w:rPr>
      </w:pPr>
      <w:r w:rsidRPr="000B162C">
        <w:rPr>
          <w:rFonts w:cstheme="minorHAnsi"/>
          <w:sz w:val="24"/>
          <w:szCs w:val="24"/>
        </w:rPr>
        <w:t xml:space="preserve">These detail relatively opposing viewpoints/ justifications given for their predictions. </w:t>
      </w:r>
    </w:p>
    <w:p w:rsidR="000D421F" w:rsidRPr="000B162C" w:rsidRDefault="000D421F" w:rsidP="000D421F">
      <w:pPr>
        <w:pStyle w:val="ListParagraph"/>
        <w:numPr>
          <w:ilvl w:val="0"/>
          <w:numId w:val="1"/>
        </w:numPr>
        <w:rPr>
          <w:rFonts w:cstheme="minorHAnsi"/>
          <w:sz w:val="24"/>
          <w:szCs w:val="24"/>
        </w:rPr>
      </w:pPr>
      <w:r w:rsidRPr="000B162C">
        <w:rPr>
          <w:rFonts w:cstheme="minorHAnsi"/>
          <w:sz w:val="24"/>
          <w:szCs w:val="24"/>
        </w:rPr>
        <w:t xml:space="preserve">Dr Andrew </w:t>
      </w:r>
      <w:proofErr w:type="spellStart"/>
      <w:r w:rsidRPr="000B162C">
        <w:rPr>
          <w:rFonts w:cstheme="minorHAnsi"/>
          <w:sz w:val="24"/>
          <w:szCs w:val="24"/>
        </w:rPr>
        <w:t>Sent</w:t>
      </w:r>
      <w:r w:rsidR="000B162C">
        <w:rPr>
          <w:rFonts w:cstheme="minorHAnsi"/>
          <w:sz w:val="24"/>
          <w:szCs w:val="24"/>
        </w:rPr>
        <w:t>a</w:t>
      </w:r>
      <w:r w:rsidRPr="000B162C">
        <w:rPr>
          <w:rFonts w:cstheme="minorHAnsi"/>
          <w:sz w:val="24"/>
          <w:szCs w:val="24"/>
        </w:rPr>
        <w:t>nce</w:t>
      </w:r>
      <w:proofErr w:type="spellEnd"/>
      <w:r w:rsidRPr="000B162C">
        <w:rPr>
          <w:rFonts w:cstheme="minorHAnsi"/>
          <w:sz w:val="24"/>
          <w:szCs w:val="24"/>
        </w:rPr>
        <w:t xml:space="preserve"> CBE (PwC economic Adviser and former MPC member): </w:t>
      </w:r>
      <w:hyperlink r:id="rId5" w:history="1">
        <w:r w:rsidRPr="000B162C">
          <w:rPr>
            <w:rStyle w:val="Hyperlink"/>
            <w:rFonts w:cstheme="minorHAnsi"/>
            <w:sz w:val="24"/>
            <w:szCs w:val="24"/>
          </w:rPr>
          <w:t>https://youtu.be/PIlEuFJ_HkE</w:t>
        </w:r>
      </w:hyperlink>
    </w:p>
    <w:p w:rsidR="000D421F" w:rsidRPr="000B162C" w:rsidRDefault="000D421F" w:rsidP="000D421F">
      <w:pPr>
        <w:pStyle w:val="ListParagraph"/>
        <w:numPr>
          <w:ilvl w:val="0"/>
          <w:numId w:val="1"/>
        </w:numPr>
        <w:rPr>
          <w:rFonts w:cstheme="minorHAnsi"/>
          <w:sz w:val="24"/>
          <w:szCs w:val="24"/>
        </w:rPr>
      </w:pPr>
      <w:proofErr w:type="spellStart"/>
      <w:r w:rsidRPr="000B162C">
        <w:rPr>
          <w:rFonts w:cstheme="minorHAnsi"/>
          <w:sz w:val="24"/>
          <w:szCs w:val="24"/>
        </w:rPr>
        <w:t>Prof.</w:t>
      </w:r>
      <w:proofErr w:type="spellEnd"/>
      <w:r w:rsidRPr="000B162C">
        <w:rPr>
          <w:rFonts w:cstheme="minorHAnsi"/>
          <w:sz w:val="24"/>
          <w:szCs w:val="24"/>
        </w:rPr>
        <w:t xml:space="preserve"> Patrick Minford (Cardiff Business School /Economists for Free Trade- staunch Brexiteer): </w:t>
      </w:r>
      <w:hyperlink r:id="rId6" w:history="1">
        <w:r w:rsidRPr="000B162C">
          <w:rPr>
            <w:rStyle w:val="Hyperlink"/>
            <w:rFonts w:cstheme="minorHAnsi"/>
            <w:sz w:val="24"/>
            <w:szCs w:val="24"/>
          </w:rPr>
          <w:t>https://youtu.be/WlCJXoQihgY</w:t>
        </w:r>
      </w:hyperlink>
      <w:r w:rsidRPr="000B162C">
        <w:rPr>
          <w:rFonts w:cstheme="minorHAnsi"/>
          <w:sz w:val="24"/>
          <w:szCs w:val="24"/>
        </w:rPr>
        <w:t xml:space="preserve"> </w:t>
      </w:r>
    </w:p>
    <w:p w:rsidR="000D421F" w:rsidRPr="000B162C" w:rsidRDefault="000D421F" w:rsidP="000D421F">
      <w:pPr>
        <w:pStyle w:val="ListParagraph"/>
        <w:numPr>
          <w:ilvl w:val="0"/>
          <w:numId w:val="1"/>
        </w:numPr>
        <w:rPr>
          <w:rFonts w:cstheme="minorHAnsi"/>
          <w:sz w:val="24"/>
          <w:szCs w:val="24"/>
        </w:rPr>
      </w:pPr>
      <w:r w:rsidRPr="000B162C">
        <w:rPr>
          <w:rFonts w:cstheme="minorHAnsi"/>
          <w:sz w:val="24"/>
          <w:szCs w:val="24"/>
        </w:rPr>
        <w:t>Julian Jessop (Chief Economist of</w:t>
      </w:r>
      <w:r w:rsidR="000B162C" w:rsidRPr="000B162C">
        <w:rPr>
          <w:rFonts w:cstheme="minorHAnsi"/>
          <w:sz w:val="24"/>
          <w:szCs w:val="24"/>
        </w:rPr>
        <w:t xml:space="preserve"> t</w:t>
      </w:r>
      <w:r w:rsidRPr="000B162C">
        <w:rPr>
          <w:rFonts w:cstheme="minorHAnsi"/>
          <w:sz w:val="24"/>
          <w:szCs w:val="24"/>
        </w:rPr>
        <w:t xml:space="preserve">he Institute of Economic Affairs): </w:t>
      </w:r>
      <w:hyperlink r:id="rId7" w:history="1">
        <w:r w:rsidRPr="000B162C">
          <w:rPr>
            <w:rStyle w:val="Hyperlink"/>
            <w:rFonts w:cstheme="minorHAnsi"/>
            <w:sz w:val="24"/>
            <w:szCs w:val="24"/>
          </w:rPr>
          <w:t>https://youtu.be/X3PSucdjJog</w:t>
        </w:r>
      </w:hyperlink>
      <w:r w:rsidRPr="000B162C">
        <w:rPr>
          <w:rFonts w:cstheme="minorHAnsi"/>
          <w:sz w:val="24"/>
          <w:szCs w:val="24"/>
        </w:rPr>
        <w:t xml:space="preserve"> </w:t>
      </w:r>
    </w:p>
    <w:p w:rsidR="000B162C" w:rsidRPr="000B162C" w:rsidRDefault="000B162C">
      <w:pPr>
        <w:rPr>
          <w:rFonts w:cstheme="minorHAnsi"/>
          <w:b/>
          <w:sz w:val="24"/>
          <w:szCs w:val="24"/>
        </w:rPr>
      </w:pPr>
      <w:r w:rsidRPr="000B162C">
        <w:rPr>
          <w:rFonts w:cstheme="minorHAnsi"/>
          <w:b/>
          <w:sz w:val="24"/>
          <w:szCs w:val="24"/>
        </w:rPr>
        <w:t>Discussion: 15 minutes</w:t>
      </w:r>
    </w:p>
    <w:p w:rsidR="004B6B15" w:rsidRDefault="000B162C">
      <w:pPr>
        <w:rPr>
          <w:rFonts w:cstheme="minorHAnsi"/>
          <w:sz w:val="24"/>
          <w:szCs w:val="24"/>
        </w:rPr>
      </w:pPr>
      <w:r w:rsidRPr="000B162C">
        <w:rPr>
          <w:rFonts w:cstheme="minorHAnsi"/>
          <w:sz w:val="24"/>
          <w:szCs w:val="24"/>
        </w:rPr>
        <w:t>E</w:t>
      </w:r>
      <w:r w:rsidR="000D421F" w:rsidRPr="000B162C">
        <w:rPr>
          <w:rFonts w:cstheme="minorHAnsi"/>
          <w:sz w:val="24"/>
          <w:szCs w:val="24"/>
        </w:rPr>
        <w:t xml:space="preserve">ncourage students to react to the three economists’ views and predictions, </w:t>
      </w:r>
      <w:r w:rsidR="001900B7">
        <w:rPr>
          <w:rFonts w:cstheme="minorHAnsi"/>
          <w:sz w:val="24"/>
          <w:szCs w:val="24"/>
        </w:rPr>
        <w:t xml:space="preserve">alongside the questions </w:t>
      </w:r>
      <w:r w:rsidR="000D421F" w:rsidRPr="000B162C">
        <w:rPr>
          <w:rFonts w:cstheme="minorHAnsi"/>
          <w:sz w:val="24"/>
          <w:szCs w:val="24"/>
        </w:rPr>
        <w:t>detailed below:</w:t>
      </w:r>
    </w:p>
    <w:p w:rsidR="001900B7" w:rsidRDefault="001900B7" w:rsidP="001900B7">
      <w:pPr>
        <w:pStyle w:val="ListParagraph"/>
        <w:numPr>
          <w:ilvl w:val="0"/>
          <w:numId w:val="3"/>
        </w:numPr>
        <w:rPr>
          <w:sz w:val="24"/>
          <w:szCs w:val="24"/>
        </w:rPr>
      </w:pPr>
      <w:r w:rsidRPr="00BC66D9">
        <w:rPr>
          <w:sz w:val="24"/>
          <w:szCs w:val="24"/>
        </w:rPr>
        <w:t>Who is most optimistic about the impact of Brexit and why?</w:t>
      </w:r>
    </w:p>
    <w:p w:rsidR="001900B7" w:rsidRPr="00BC66D9" w:rsidRDefault="001900B7" w:rsidP="001900B7">
      <w:pPr>
        <w:pStyle w:val="ListParagraph"/>
        <w:numPr>
          <w:ilvl w:val="0"/>
          <w:numId w:val="3"/>
        </w:numPr>
        <w:rPr>
          <w:sz w:val="24"/>
          <w:szCs w:val="24"/>
        </w:rPr>
      </w:pPr>
      <w:r>
        <w:rPr>
          <w:sz w:val="24"/>
          <w:szCs w:val="24"/>
        </w:rPr>
        <w:t>Who is the most pessimistic?</w:t>
      </w:r>
    </w:p>
    <w:p w:rsidR="001900B7" w:rsidRDefault="001900B7" w:rsidP="001900B7">
      <w:pPr>
        <w:pStyle w:val="ListParagraph"/>
        <w:numPr>
          <w:ilvl w:val="0"/>
          <w:numId w:val="3"/>
        </w:numPr>
        <w:rPr>
          <w:sz w:val="24"/>
          <w:szCs w:val="24"/>
        </w:rPr>
      </w:pPr>
      <w:r>
        <w:rPr>
          <w:sz w:val="24"/>
          <w:szCs w:val="24"/>
        </w:rPr>
        <w:t>What impact will a reduction in EU immigration have on unemployment and wage growth?</w:t>
      </w:r>
    </w:p>
    <w:p w:rsidR="001900B7" w:rsidRDefault="001900B7" w:rsidP="001900B7">
      <w:pPr>
        <w:pStyle w:val="ListParagraph"/>
        <w:numPr>
          <w:ilvl w:val="0"/>
          <w:numId w:val="3"/>
        </w:numPr>
        <w:rPr>
          <w:sz w:val="24"/>
          <w:szCs w:val="24"/>
        </w:rPr>
      </w:pPr>
      <w:r>
        <w:rPr>
          <w:sz w:val="24"/>
          <w:szCs w:val="24"/>
        </w:rPr>
        <w:t>What factors will likely cause the Bank of England to raise the base rate? Or will they remain the same?</w:t>
      </w:r>
    </w:p>
    <w:p w:rsidR="001900B7" w:rsidRDefault="001900B7" w:rsidP="001900B7">
      <w:pPr>
        <w:pStyle w:val="ListParagraph"/>
        <w:numPr>
          <w:ilvl w:val="0"/>
          <w:numId w:val="3"/>
        </w:numPr>
        <w:rPr>
          <w:sz w:val="24"/>
          <w:szCs w:val="24"/>
        </w:rPr>
      </w:pPr>
      <w:r>
        <w:rPr>
          <w:sz w:val="24"/>
          <w:szCs w:val="24"/>
        </w:rPr>
        <w:t>What makes predicting exchange rates so challenging?</w:t>
      </w:r>
    </w:p>
    <w:p w:rsidR="001900B7" w:rsidRPr="000B162C" w:rsidRDefault="001900B7">
      <w:pPr>
        <w:rPr>
          <w:rFonts w:cstheme="minorHAnsi"/>
          <w:sz w:val="24"/>
          <w:szCs w:val="24"/>
        </w:rPr>
      </w:pPr>
    </w:p>
    <w:p w:rsidR="001900B7" w:rsidRPr="00755A19" w:rsidRDefault="001900B7" w:rsidP="001900B7">
      <w:pPr>
        <w:jc w:val="center"/>
        <w:rPr>
          <w:rFonts w:ascii="Lucida Sans" w:hAnsi="Lucida Sans"/>
          <w:b/>
          <w:i/>
        </w:rPr>
      </w:pPr>
      <w:proofErr w:type="spellStart"/>
      <w:r>
        <w:rPr>
          <w:rFonts w:ascii="Lucida Sans" w:hAnsi="Lucida Sans"/>
          <w:b/>
          <w:i/>
        </w:rPr>
        <w:t>Prof.</w:t>
      </w:r>
      <w:proofErr w:type="spellEnd"/>
      <w:r>
        <w:rPr>
          <w:rFonts w:ascii="Lucida Sans" w:hAnsi="Lucida Sans"/>
          <w:b/>
          <w:i/>
        </w:rPr>
        <w:t xml:space="preserve"> Patrick Minford</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840"/>
        <w:gridCol w:w="1790"/>
        <w:gridCol w:w="1790"/>
        <w:gridCol w:w="1857"/>
      </w:tblGrid>
      <w:tr w:rsidR="001900B7" w:rsidRPr="006137B4" w:rsidTr="0064379A">
        <w:trPr>
          <w:trHeight w:val="183"/>
        </w:trPr>
        <w:tc>
          <w:tcPr>
            <w:tcW w:w="2763" w:type="dxa"/>
            <w:shd w:val="clear" w:color="auto" w:fill="BFBFBF"/>
          </w:tcPr>
          <w:p w:rsidR="001900B7" w:rsidRPr="006137B4" w:rsidRDefault="001900B7" w:rsidP="0064379A">
            <w:pPr>
              <w:rPr>
                <w:rFonts w:ascii="Calibri" w:hAnsi="Calibri" w:cs="Arial"/>
                <w:b/>
                <w:position w:val="-20"/>
                <w:szCs w:val="24"/>
              </w:rPr>
            </w:pPr>
          </w:p>
        </w:tc>
        <w:tc>
          <w:tcPr>
            <w:tcW w:w="1840" w:type="dxa"/>
            <w:shd w:val="clear" w:color="auto" w:fill="BFBFBF"/>
          </w:tcPr>
          <w:p w:rsidR="001900B7" w:rsidRPr="006137B4" w:rsidRDefault="001900B7" w:rsidP="0064379A">
            <w:pPr>
              <w:jc w:val="center"/>
              <w:rPr>
                <w:rFonts w:ascii="Calibri" w:hAnsi="Calibri"/>
                <w:b/>
                <w:szCs w:val="24"/>
              </w:rPr>
            </w:pPr>
            <w:r>
              <w:rPr>
                <w:rFonts w:ascii="Calibri" w:hAnsi="Calibri"/>
                <w:b/>
                <w:szCs w:val="24"/>
              </w:rPr>
              <w:t>2017</w:t>
            </w:r>
          </w:p>
        </w:tc>
        <w:tc>
          <w:tcPr>
            <w:tcW w:w="5437" w:type="dxa"/>
            <w:gridSpan w:val="3"/>
            <w:shd w:val="clear" w:color="auto" w:fill="BFBFBF"/>
          </w:tcPr>
          <w:p w:rsidR="001900B7" w:rsidRPr="006137B4" w:rsidRDefault="001900B7" w:rsidP="0064379A">
            <w:pPr>
              <w:jc w:val="center"/>
              <w:rPr>
                <w:rFonts w:ascii="Calibri" w:hAnsi="Calibri"/>
                <w:b/>
                <w:szCs w:val="24"/>
              </w:rPr>
            </w:pPr>
            <w:r>
              <w:rPr>
                <w:rFonts w:ascii="Calibri" w:hAnsi="Calibri"/>
                <w:b/>
                <w:szCs w:val="24"/>
              </w:rPr>
              <w:t>2018</w:t>
            </w:r>
          </w:p>
        </w:tc>
      </w:tr>
      <w:tr w:rsidR="001900B7" w:rsidRPr="006137B4" w:rsidTr="0064379A">
        <w:trPr>
          <w:trHeight w:val="177"/>
        </w:trPr>
        <w:tc>
          <w:tcPr>
            <w:tcW w:w="2763" w:type="dxa"/>
            <w:shd w:val="clear" w:color="auto" w:fill="F2F2F2"/>
          </w:tcPr>
          <w:p w:rsidR="001900B7" w:rsidRPr="006137B4" w:rsidRDefault="001900B7" w:rsidP="0064379A">
            <w:pPr>
              <w:rPr>
                <w:rFonts w:ascii="Calibri" w:hAnsi="Calibri" w:cs="Arial"/>
                <w:b/>
                <w:position w:val="-20"/>
                <w:szCs w:val="24"/>
              </w:rPr>
            </w:pPr>
          </w:p>
        </w:tc>
        <w:tc>
          <w:tcPr>
            <w:tcW w:w="1840"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Q4</w:t>
            </w:r>
          </w:p>
        </w:tc>
        <w:tc>
          <w:tcPr>
            <w:tcW w:w="1790"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Q1</w:t>
            </w:r>
          </w:p>
        </w:tc>
        <w:tc>
          <w:tcPr>
            <w:tcW w:w="1790"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Q2</w:t>
            </w:r>
          </w:p>
        </w:tc>
        <w:tc>
          <w:tcPr>
            <w:tcW w:w="1855"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Q3</w:t>
            </w:r>
          </w:p>
        </w:tc>
      </w:tr>
      <w:tr w:rsidR="001900B7" w:rsidRPr="006137B4" w:rsidTr="0064379A">
        <w:trPr>
          <w:trHeight w:val="234"/>
        </w:trPr>
        <w:tc>
          <w:tcPr>
            <w:tcW w:w="2763"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GDP</w:t>
            </w:r>
            <w:r>
              <w:rPr>
                <w:rFonts w:ascii="Calibri" w:hAnsi="Calibri" w:cs="Arial"/>
                <w:b/>
                <w:position w:val="-20"/>
                <w:szCs w:val="24"/>
              </w:rPr>
              <w:t xml:space="preserve"> Growth</w:t>
            </w:r>
          </w:p>
          <w:p w:rsidR="001900B7" w:rsidRPr="00C82220" w:rsidRDefault="001900B7" w:rsidP="0064379A">
            <w:pPr>
              <w:rPr>
                <w:rFonts w:ascii="Calibri" w:hAnsi="Calibri" w:cs="Arial"/>
                <w:i/>
                <w:position w:val="-20"/>
                <w:szCs w:val="24"/>
              </w:rPr>
            </w:pPr>
            <w:r w:rsidRPr="00C82220">
              <w:rPr>
                <w:rFonts w:ascii="Calibri" w:hAnsi="Calibri" w:cs="Arial"/>
                <w:i/>
                <w:position w:val="-20"/>
                <w:sz w:val="20"/>
                <w:szCs w:val="24"/>
              </w:rPr>
              <w:t>(Quarterly, % change)</w:t>
            </w:r>
          </w:p>
        </w:tc>
        <w:tc>
          <w:tcPr>
            <w:tcW w:w="1840" w:type="dxa"/>
            <w:vAlign w:val="center"/>
          </w:tcPr>
          <w:p w:rsidR="001900B7" w:rsidRPr="006137B4" w:rsidRDefault="001900B7" w:rsidP="0064379A">
            <w:pPr>
              <w:jc w:val="center"/>
              <w:rPr>
                <w:rFonts w:ascii="Calibri" w:hAnsi="Calibri"/>
                <w:szCs w:val="24"/>
              </w:rPr>
            </w:pPr>
            <w:r>
              <w:rPr>
                <w:rFonts w:ascii="Calibri" w:hAnsi="Calibri"/>
                <w:szCs w:val="24"/>
              </w:rPr>
              <w:t>0.5</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0.5</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0.5</w:t>
            </w:r>
          </w:p>
        </w:tc>
        <w:tc>
          <w:tcPr>
            <w:tcW w:w="1855" w:type="dxa"/>
            <w:vAlign w:val="center"/>
          </w:tcPr>
          <w:p w:rsidR="001900B7" w:rsidRPr="006137B4" w:rsidRDefault="001900B7" w:rsidP="0064379A">
            <w:pPr>
              <w:jc w:val="center"/>
              <w:rPr>
                <w:rFonts w:ascii="Calibri" w:hAnsi="Calibri"/>
                <w:szCs w:val="24"/>
              </w:rPr>
            </w:pPr>
            <w:r>
              <w:rPr>
                <w:rFonts w:ascii="Calibri" w:hAnsi="Calibri"/>
                <w:szCs w:val="24"/>
              </w:rPr>
              <w:t>0.5</w:t>
            </w:r>
          </w:p>
        </w:tc>
      </w:tr>
      <w:tr w:rsidR="001900B7" w:rsidRPr="006137B4" w:rsidTr="0064379A">
        <w:trPr>
          <w:trHeight w:val="225"/>
        </w:trPr>
        <w:tc>
          <w:tcPr>
            <w:tcW w:w="2763"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Inflation</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lastRenderedPageBreak/>
              <w:t xml:space="preserve">(CPI All Items, % change </w:t>
            </w:r>
            <w:r>
              <w:rPr>
                <w:rFonts w:ascii="Calibri" w:hAnsi="Calibri" w:cs="Arial"/>
                <w:i/>
                <w:position w:val="-20"/>
                <w:sz w:val="20"/>
                <w:szCs w:val="24"/>
              </w:rPr>
              <w:t>YoY</w:t>
            </w:r>
            <w:r w:rsidRPr="00C82220">
              <w:rPr>
                <w:rFonts w:ascii="Calibri" w:hAnsi="Calibri" w:cs="Arial"/>
                <w:i/>
                <w:position w:val="-20"/>
                <w:sz w:val="20"/>
                <w:szCs w:val="24"/>
              </w:rPr>
              <w:t>)</w:t>
            </w:r>
          </w:p>
        </w:tc>
        <w:tc>
          <w:tcPr>
            <w:tcW w:w="1840" w:type="dxa"/>
            <w:vAlign w:val="center"/>
          </w:tcPr>
          <w:p w:rsidR="001900B7" w:rsidRPr="006137B4" w:rsidRDefault="001900B7" w:rsidP="0064379A">
            <w:pPr>
              <w:jc w:val="center"/>
              <w:rPr>
                <w:rFonts w:ascii="Calibri" w:hAnsi="Calibri"/>
                <w:szCs w:val="24"/>
              </w:rPr>
            </w:pPr>
            <w:r>
              <w:rPr>
                <w:rFonts w:ascii="Calibri" w:hAnsi="Calibri"/>
                <w:szCs w:val="24"/>
              </w:rPr>
              <w:lastRenderedPageBreak/>
              <w:t>3.0</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2.7</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2.5</w:t>
            </w:r>
          </w:p>
        </w:tc>
        <w:tc>
          <w:tcPr>
            <w:tcW w:w="1855" w:type="dxa"/>
            <w:vAlign w:val="center"/>
          </w:tcPr>
          <w:p w:rsidR="001900B7" w:rsidRPr="006137B4" w:rsidRDefault="001900B7" w:rsidP="0064379A">
            <w:pPr>
              <w:jc w:val="center"/>
              <w:rPr>
                <w:rFonts w:ascii="Calibri" w:hAnsi="Calibri"/>
                <w:szCs w:val="24"/>
              </w:rPr>
            </w:pPr>
            <w:r>
              <w:rPr>
                <w:rFonts w:ascii="Calibri" w:hAnsi="Calibri"/>
                <w:szCs w:val="24"/>
              </w:rPr>
              <w:t>2.2</w:t>
            </w:r>
          </w:p>
        </w:tc>
      </w:tr>
      <w:tr w:rsidR="001900B7" w:rsidRPr="006137B4" w:rsidTr="0064379A">
        <w:trPr>
          <w:trHeight w:val="228"/>
        </w:trPr>
        <w:tc>
          <w:tcPr>
            <w:tcW w:w="2763"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Unemployment</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w:t>
            </w:r>
            <w:r>
              <w:rPr>
                <w:rFonts w:ascii="Calibri" w:hAnsi="Calibri" w:cs="Arial"/>
                <w:i/>
                <w:position w:val="-20"/>
                <w:sz w:val="20"/>
                <w:szCs w:val="24"/>
              </w:rPr>
              <w:t xml:space="preserve">% rate, </w:t>
            </w:r>
            <w:r w:rsidRPr="00C82220">
              <w:rPr>
                <w:rFonts w:ascii="Calibri" w:hAnsi="Calibri" w:cs="Arial"/>
                <w:i/>
                <w:position w:val="-20"/>
                <w:sz w:val="20"/>
                <w:szCs w:val="24"/>
              </w:rPr>
              <w:t>all 16 and over)</w:t>
            </w:r>
          </w:p>
        </w:tc>
        <w:tc>
          <w:tcPr>
            <w:tcW w:w="1840" w:type="dxa"/>
            <w:vAlign w:val="center"/>
          </w:tcPr>
          <w:p w:rsidR="001900B7" w:rsidRPr="006137B4" w:rsidRDefault="001900B7" w:rsidP="0064379A">
            <w:pPr>
              <w:jc w:val="center"/>
              <w:rPr>
                <w:rFonts w:ascii="Calibri" w:hAnsi="Calibri"/>
                <w:szCs w:val="24"/>
              </w:rPr>
            </w:pPr>
            <w:r>
              <w:rPr>
                <w:rFonts w:ascii="Calibri" w:hAnsi="Calibri"/>
                <w:szCs w:val="24"/>
              </w:rPr>
              <w:t>4.3</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4.2</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4.2</w:t>
            </w:r>
          </w:p>
        </w:tc>
        <w:tc>
          <w:tcPr>
            <w:tcW w:w="1855" w:type="dxa"/>
            <w:vAlign w:val="center"/>
          </w:tcPr>
          <w:p w:rsidR="001900B7" w:rsidRPr="006137B4" w:rsidRDefault="001900B7" w:rsidP="0064379A">
            <w:pPr>
              <w:jc w:val="center"/>
              <w:rPr>
                <w:rFonts w:ascii="Calibri" w:hAnsi="Calibri"/>
                <w:szCs w:val="24"/>
              </w:rPr>
            </w:pPr>
            <w:r>
              <w:rPr>
                <w:rFonts w:ascii="Calibri" w:hAnsi="Calibri"/>
                <w:szCs w:val="24"/>
              </w:rPr>
              <w:t>4.1</w:t>
            </w:r>
          </w:p>
        </w:tc>
      </w:tr>
      <w:tr w:rsidR="001900B7" w:rsidRPr="006137B4" w:rsidTr="0064379A">
        <w:trPr>
          <w:trHeight w:val="226"/>
        </w:trPr>
        <w:tc>
          <w:tcPr>
            <w:tcW w:w="2763"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Interest Rates</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w:t>
            </w:r>
            <w:r>
              <w:rPr>
                <w:rFonts w:ascii="Calibri" w:hAnsi="Calibri" w:cs="Arial"/>
                <w:i/>
                <w:position w:val="-20"/>
                <w:sz w:val="20"/>
                <w:szCs w:val="24"/>
              </w:rPr>
              <w:t>official Bank Rate</w:t>
            </w:r>
            <w:r w:rsidRPr="00C82220">
              <w:rPr>
                <w:rFonts w:ascii="Calibri" w:hAnsi="Calibri" w:cs="Arial"/>
                <w:i/>
                <w:position w:val="-20"/>
                <w:sz w:val="20"/>
                <w:szCs w:val="24"/>
              </w:rPr>
              <w:t>)</w:t>
            </w:r>
          </w:p>
        </w:tc>
        <w:tc>
          <w:tcPr>
            <w:tcW w:w="1840" w:type="dxa"/>
            <w:vAlign w:val="center"/>
          </w:tcPr>
          <w:p w:rsidR="001900B7" w:rsidRPr="006137B4" w:rsidRDefault="001900B7" w:rsidP="0064379A">
            <w:pPr>
              <w:jc w:val="center"/>
              <w:rPr>
                <w:rFonts w:ascii="Calibri" w:hAnsi="Calibri"/>
                <w:szCs w:val="24"/>
              </w:rPr>
            </w:pPr>
            <w:r>
              <w:rPr>
                <w:rFonts w:ascii="Calibri" w:hAnsi="Calibri"/>
                <w:szCs w:val="24"/>
              </w:rPr>
              <w:t>0.3</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0.4</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0.6</w:t>
            </w:r>
          </w:p>
        </w:tc>
        <w:tc>
          <w:tcPr>
            <w:tcW w:w="1855" w:type="dxa"/>
            <w:vAlign w:val="center"/>
          </w:tcPr>
          <w:p w:rsidR="001900B7" w:rsidRPr="006137B4" w:rsidRDefault="001900B7" w:rsidP="0064379A">
            <w:pPr>
              <w:jc w:val="center"/>
              <w:rPr>
                <w:rFonts w:ascii="Calibri" w:hAnsi="Calibri"/>
                <w:szCs w:val="24"/>
              </w:rPr>
            </w:pPr>
            <w:r>
              <w:rPr>
                <w:rFonts w:ascii="Calibri" w:hAnsi="Calibri"/>
                <w:szCs w:val="24"/>
              </w:rPr>
              <w:t>0.8</w:t>
            </w:r>
          </w:p>
        </w:tc>
      </w:tr>
      <w:tr w:rsidR="001900B7" w:rsidRPr="006137B4" w:rsidTr="0064379A">
        <w:trPr>
          <w:trHeight w:val="332"/>
        </w:trPr>
        <w:tc>
          <w:tcPr>
            <w:tcW w:w="2763"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Earnings Growth</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w:t>
            </w:r>
            <w:proofErr w:type="spellStart"/>
            <w:r>
              <w:rPr>
                <w:rFonts w:ascii="Calibri" w:hAnsi="Calibri" w:cs="Arial"/>
                <w:i/>
                <w:position w:val="-20"/>
                <w:sz w:val="20"/>
                <w:szCs w:val="24"/>
              </w:rPr>
              <w:t>Excl</w:t>
            </w:r>
            <w:proofErr w:type="spellEnd"/>
            <w:r>
              <w:rPr>
                <w:rFonts w:ascii="Calibri" w:hAnsi="Calibri" w:cs="Arial"/>
                <w:i/>
                <w:position w:val="-20"/>
                <w:sz w:val="20"/>
                <w:szCs w:val="24"/>
              </w:rPr>
              <w:t xml:space="preserve"> bonuses, % change YoY)</w:t>
            </w:r>
          </w:p>
        </w:tc>
        <w:tc>
          <w:tcPr>
            <w:tcW w:w="1840" w:type="dxa"/>
            <w:vAlign w:val="center"/>
          </w:tcPr>
          <w:p w:rsidR="001900B7" w:rsidRPr="006137B4" w:rsidRDefault="001900B7" w:rsidP="0064379A">
            <w:pPr>
              <w:jc w:val="center"/>
              <w:rPr>
                <w:rFonts w:ascii="Calibri" w:hAnsi="Calibri"/>
                <w:szCs w:val="24"/>
              </w:rPr>
            </w:pPr>
            <w:r>
              <w:rPr>
                <w:rFonts w:ascii="Calibri" w:hAnsi="Calibri"/>
                <w:szCs w:val="24"/>
              </w:rPr>
              <w:t>2.2</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2.3</w:t>
            </w:r>
          </w:p>
        </w:tc>
        <w:tc>
          <w:tcPr>
            <w:tcW w:w="1790" w:type="dxa"/>
            <w:vAlign w:val="center"/>
          </w:tcPr>
          <w:p w:rsidR="001900B7" w:rsidRPr="006137B4" w:rsidRDefault="001900B7" w:rsidP="0064379A">
            <w:pPr>
              <w:jc w:val="center"/>
              <w:rPr>
                <w:rFonts w:ascii="Calibri" w:hAnsi="Calibri"/>
                <w:szCs w:val="24"/>
              </w:rPr>
            </w:pPr>
            <w:r>
              <w:rPr>
                <w:rFonts w:ascii="Calibri" w:hAnsi="Calibri"/>
                <w:szCs w:val="24"/>
              </w:rPr>
              <w:t>2.3</w:t>
            </w:r>
          </w:p>
        </w:tc>
        <w:tc>
          <w:tcPr>
            <w:tcW w:w="1855" w:type="dxa"/>
            <w:vAlign w:val="center"/>
          </w:tcPr>
          <w:p w:rsidR="001900B7" w:rsidRPr="006137B4" w:rsidRDefault="001900B7" w:rsidP="0064379A">
            <w:pPr>
              <w:jc w:val="center"/>
              <w:rPr>
                <w:rFonts w:ascii="Calibri" w:hAnsi="Calibri"/>
                <w:szCs w:val="24"/>
              </w:rPr>
            </w:pPr>
            <w:r>
              <w:rPr>
                <w:rFonts w:ascii="Calibri" w:hAnsi="Calibri"/>
                <w:szCs w:val="24"/>
              </w:rPr>
              <w:t>2.3</w:t>
            </w:r>
          </w:p>
        </w:tc>
      </w:tr>
      <w:tr w:rsidR="001900B7" w:rsidRPr="006137B4" w:rsidTr="0064379A">
        <w:trPr>
          <w:trHeight w:val="227"/>
        </w:trPr>
        <w:tc>
          <w:tcPr>
            <w:tcW w:w="4603" w:type="dxa"/>
            <w:gridSpan w:val="2"/>
            <w:shd w:val="clear" w:color="auto" w:fill="F2F2F2"/>
            <w:vAlign w:val="center"/>
          </w:tcPr>
          <w:p w:rsidR="001900B7" w:rsidRDefault="001900B7" w:rsidP="0064379A">
            <w:pPr>
              <w:rPr>
                <w:rFonts w:ascii="Calibri" w:hAnsi="Calibri" w:cs="Arial"/>
                <w:b/>
                <w:position w:val="-20"/>
                <w:szCs w:val="24"/>
              </w:rPr>
            </w:pPr>
            <w:r>
              <w:rPr>
                <w:rFonts w:ascii="Calibri" w:hAnsi="Calibri" w:cs="Arial"/>
                <w:b/>
                <w:position w:val="-20"/>
                <w:szCs w:val="24"/>
              </w:rPr>
              <w:t xml:space="preserve">Lowest Sterling/Euro Exchange rate  </w:t>
            </w:r>
          </w:p>
          <w:p w:rsidR="001900B7" w:rsidRPr="006137B4" w:rsidRDefault="001900B7" w:rsidP="0064379A">
            <w:pPr>
              <w:rPr>
                <w:rFonts w:ascii="Calibri" w:hAnsi="Calibri"/>
                <w:szCs w:val="24"/>
              </w:rPr>
            </w:pPr>
            <w:r w:rsidRPr="00C82220">
              <w:rPr>
                <w:rFonts w:ascii="Calibri" w:hAnsi="Calibri" w:cs="Arial"/>
                <w:i/>
                <w:position w:val="-20"/>
                <w:sz w:val="20"/>
                <w:szCs w:val="24"/>
              </w:rPr>
              <w:t>(</w:t>
            </w:r>
            <w:r>
              <w:rPr>
                <w:rFonts w:ascii="Calibri" w:hAnsi="Calibri" w:cs="Arial"/>
                <w:i/>
                <w:position w:val="-20"/>
                <w:sz w:val="20"/>
                <w:szCs w:val="24"/>
              </w:rPr>
              <w:t>lowest point between 21</w:t>
            </w:r>
            <w:r w:rsidRPr="007B1177">
              <w:rPr>
                <w:rFonts w:ascii="Calibri" w:hAnsi="Calibri" w:cs="Arial"/>
                <w:i/>
                <w:position w:val="-20"/>
                <w:sz w:val="20"/>
                <w:szCs w:val="24"/>
                <w:vertAlign w:val="superscript"/>
              </w:rPr>
              <w:t>st</w:t>
            </w:r>
            <w:r>
              <w:rPr>
                <w:rFonts w:ascii="Calibri" w:hAnsi="Calibri" w:cs="Arial"/>
                <w:i/>
                <w:position w:val="-20"/>
                <w:sz w:val="20"/>
                <w:szCs w:val="24"/>
              </w:rPr>
              <w:t xml:space="preserve"> Jan – 31</w:t>
            </w:r>
            <w:r w:rsidRPr="006C6A47">
              <w:rPr>
                <w:rFonts w:ascii="Calibri" w:hAnsi="Calibri" w:cs="Arial"/>
                <w:i/>
                <w:position w:val="-20"/>
                <w:sz w:val="20"/>
                <w:szCs w:val="24"/>
                <w:vertAlign w:val="superscript"/>
              </w:rPr>
              <w:t>st</w:t>
            </w:r>
            <w:r>
              <w:rPr>
                <w:rFonts w:ascii="Calibri" w:hAnsi="Calibri" w:cs="Arial"/>
                <w:i/>
                <w:position w:val="-20"/>
                <w:sz w:val="20"/>
                <w:szCs w:val="24"/>
              </w:rPr>
              <w:t xml:space="preserve"> Oct)</w:t>
            </w:r>
          </w:p>
        </w:tc>
        <w:tc>
          <w:tcPr>
            <w:tcW w:w="5437" w:type="dxa"/>
            <w:gridSpan w:val="3"/>
            <w:vAlign w:val="center"/>
          </w:tcPr>
          <w:p w:rsidR="001900B7" w:rsidRPr="006137B4" w:rsidRDefault="001900B7" w:rsidP="0064379A">
            <w:pPr>
              <w:jc w:val="center"/>
              <w:rPr>
                <w:rFonts w:ascii="Calibri" w:hAnsi="Calibri"/>
                <w:szCs w:val="24"/>
              </w:rPr>
            </w:pPr>
            <w:r>
              <w:rPr>
                <w:rFonts w:ascii="Calibri" w:hAnsi="Calibri"/>
                <w:szCs w:val="24"/>
              </w:rPr>
              <w:t>1.06</w:t>
            </w:r>
          </w:p>
        </w:tc>
      </w:tr>
    </w:tbl>
    <w:p w:rsidR="001900B7" w:rsidRDefault="001900B7" w:rsidP="001900B7">
      <w:pPr>
        <w:rPr>
          <w:sz w:val="24"/>
          <w:szCs w:val="24"/>
        </w:rPr>
      </w:pPr>
    </w:p>
    <w:p w:rsidR="001900B7" w:rsidRPr="00755A19" w:rsidRDefault="001900B7" w:rsidP="001900B7">
      <w:pPr>
        <w:jc w:val="center"/>
        <w:rPr>
          <w:rFonts w:ascii="Lucida Sans" w:hAnsi="Lucida Sans"/>
          <w:b/>
          <w:i/>
        </w:rPr>
      </w:pPr>
      <w:r>
        <w:rPr>
          <w:rFonts w:ascii="Lucida Sans" w:hAnsi="Lucida Sans"/>
          <w:b/>
          <w:i/>
        </w:rPr>
        <w:t>Julian Jessop</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992"/>
        <w:gridCol w:w="1992"/>
        <w:gridCol w:w="1992"/>
        <w:gridCol w:w="2063"/>
      </w:tblGrid>
      <w:tr w:rsidR="001900B7" w:rsidRPr="006137B4" w:rsidTr="0064379A">
        <w:tc>
          <w:tcPr>
            <w:tcW w:w="1992" w:type="dxa"/>
            <w:shd w:val="clear" w:color="auto" w:fill="BFBFBF"/>
          </w:tcPr>
          <w:p w:rsidR="001900B7" w:rsidRPr="006137B4" w:rsidRDefault="001900B7" w:rsidP="0064379A">
            <w:pPr>
              <w:rPr>
                <w:rFonts w:ascii="Calibri" w:hAnsi="Calibri" w:cs="Arial"/>
                <w:b/>
                <w:position w:val="-20"/>
                <w:szCs w:val="24"/>
              </w:rPr>
            </w:pPr>
            <w:bookmarkStart w:id="1" w:name="_Hlk499814673"/>
          </w:p>
        </w:tc>
        <w:tc>
          <w:tcPr>
            <w:tcW w:w="1992" w:type="dxa"/>
            <w:shd w:val="clear" w:color="auto" w:fill="BFBFBF"/>
          </w:tcPr>
          <w:p w:rsidR="001900B7" w:rsidRPr="006137B4" w:rsidRDefault="001900B7" w:rsidP="0064379A">
            <w:pPr>
              <w:jc w:val="center"/>
              <w:rPr>
                <w:rFonts w:ascii="Calibri" w:hAnsi="Calibri"/>
                <w:b/>
                <w:szCs w:val="24"/>
              </w:rPr>
            </w:pPr>
            <w:r>
              <w:rPr>
                <w:rFonts w:ascii="Calibri" w:hAnsi="Calibri"/>
                <w:b/>
                <w:szCs w:val="24"/>
              </w:rPr>
              <w:t>2017</w:t>
            </w:r>
          </w:p>
        </w:tc>
        <w:tc>
          <w:tcPr>
            <w:tcW w:w="6047" w:type="dxa"/>
            <w:gridSpan w:val="3"/>
            <w:shd w:val="clear" w:color="auto" w:fill="BFBFBF"/>
          </w:tcPr>
          <w:p w:rsidR="001900B7" w:rsidRPr="006137B4" w:rsidRDefault="001900B7" w:rsidP="0064379A">
            <w:pPr>
              <w:jc w:val="center"/>
              <w:rPr>
                <w:rFonts w:ascii="Calibri" w:hAnsi="Calibri"/>
                <w:b/>
                <w:szCs w:val="24"/>
              </w:rPr>
            </w:pPr>
            <w:r>
              <w:rPr>
                <w:rFonts w:ascii="Calibri" w:hAnsi="Calibri"/>
                <w:b/>
                <w:szCs w:val="24"/>
              </w:rPr>
              <w:t>2018</w:t>
            </w:r>
          </w:p>
        </w:tc>
      </w:tr>
      <w:tr w:rsidR="001900B7" w:rsidRPr="006137B4" w:rsidTr="0064379A">
        <w:tc>
          <w:tcPr>
            <w:tcW w:w="1992" w:type="dxa"/>
            <w:shd w:val="clear" w:color="auto" w:fill="F2F2F2"/>
          </w:tcPr>
          <w:p w:rsidR="001900B7" w:rsidRPr="006137B4" w:rsidRDefault="001900B7" w:rsidP="0064379A">
            <w:pPr>
              <w:rPr>
                <w:rFonts w:ascii="Calibri" w:hAnsi="Calibri" w:cs="Arial"/>
                <w:b/>
                <w:position w:val="-20"/>
                <w:szCs w:val="24"/>
              </w:rPr>
            </w:pPr>
          </w:p>
        </w:tc>
        <w:tc>
          <w:tcPr>
            <w:tcW w:w="1992"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Q4</w:t>
            </w:r>
          </w:p>
        </w:tc>
        <w:tc>
          <w:tcPr>
            <w:tcW w:w="1992"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Q1</w:t>
            </w:r>
          </w:p>
        </w:tc>
        <w:tc>
          <w:tcPr>
            <w:tcW w:w="1992"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Q2</w:t>
            </w:r>
          </w:p>
        </w:tc>
        <w:tc>
          <w:tcPr>
            <w:tcW w:w="2063"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Q3</w:t>
            </w:r>
          </w:p>
        </w:tc>
      </w:tr>
      <w:tr w:rsidR="001900B7" w:rsidRPr="006137B4" w:rsidTr="0064379A">
        <w:trPr>
          <w:trHeight w:val="572"/>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GDP</w:t>
            </w:r>
            <w:r>
              <w:rPr>
                <w:rFonts w:ascii="Calibri" w:hAnsi="Calibri" w:cs="Arial"/>
                <w:b/>
                <w:position w:val="-20"/>
                <w:szCs w:val="24"/>
              </w:rPr>
              <w:t xml:space="preserve"> Growth</w:t>
            </w:r>
          </w:p>
          <w:p w:rsidR="001900B7" w:rsidRPr="00C82220" w:rsidRDefault="001900B7" w:rsidP="0064379A">
            <w:pPr>
              <w:rPr>
                <w:rFonts w:ascii="Calibri" w:hAnsi="Calibri" w:cs="Arial"/>
                <w:i/>
                <w:position w:val="-20"/>
                <w:szCs w:val="24"/>
              </w:rPr>
            </w:pPr>
            <w:r w:rsidRPr="00C82220">
              <w:rPr>
                <w:rFonts w:ascii="Calibri" w:hAnsi="Calibri" w:cs="Arial"/>
                <w:i/>
                <w:position w:val="-20"/>
                <w:sz w:val="20"/>
                <w:szCs w:val="24"/>
              </w:rPr>
              <w:t>(Quarterly, % change)</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0.5</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0.5</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0.6</w:t>
            </w:r>
          </w:p>
        </w:tc>
        <w:tc>
          <w:tcPr>
            <w:tcW w:w="2063" w:type="dxa"/>
            <w:vAlign w:val="center"/>
          </w:tcPr>
          <w:p w:rsidR="001900B7" w:rsidRPr="006137B4" w:rsidRDefault="001900B7" w:rsidP="0064379A">
            <w:pPr>
              <w:jc w:val="center"/>
              <w:rPr>
                <w:rFonts w:ascii="Calibri" w:hAnsi="Calibri"/>
                <w:szCs w:val="24"/>
              </w:rPr>
            </w:pPr>
            <w:r>
              <w:rPr>
                <w:rFonts w:ascii="Calibri" w:hAnsi="Calibri"/>
                <w:szCs w:val="24"/>
              </w:rPr>
              <w:t>0.7</w:t>
            </w:r>
          </w:p>
        </w:tc>
      </w:tr>
      <w:tr w:rsidR="001900B7" w:rsidRPr="006137B4" w:rsidTr="0064379A">
        <w:trPr>
          <w:trHeight w:val="552"/>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Inflation</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 xml:space="preserve">(CPI All Items, % change </w:t>
            </w:r>
            <w:r>
              <w:rPr>
                <w:rFonts w:ascii="Calibri" w:hAnsi="Calibri" w:cs="Arial"/>
                <w:i/>
                <w:position w:val="-20"/>
                <w:sz w:val="20"/>
                <w:szCs w:val="24"/>
              </w:rPr>
              <w:t>YoY</w:t>
            </w:r>
            <w:r w:rsidRPr="00C82220">
              <w:rPr>
                <w:rFonts w:ascii="Calibri" w:hAnsi="Calibri" w:cs="Arial"/>
                <w:i/>
                <w:position w:val="-20"/>
                <w:sz w:val="20"/>
                <w:szCs w:val="24"/>
              </w:rPr>
              <w:t>)</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3.0</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2.6</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2.4</w:t>
            </w:r>
          </w:p>
        </w:tc>
        <w:tc>
          <w:tcPr>
            <w:tcW w:w="2063" w:type="dxa"/>
            <w:vAlign w:val="center"/>
          </w:tcPr>
          <w:p w:rsidR="001900B7" w:rsidRPr="006137B4" w:rsidRDefault="001900B7" w:rsidP="0064379A">
            <w:pPr>
              <w:jc w:val="center"/>
              <w:rPr>
                <w:rFonts w:ascii="Calibri" w:hAnsi="Calibri"/>
                <w:szCs w:val="24"/>
              </w:rPr>
            </w:pPr>
            <w:r>
              <w:rPr>
                <w:rFonts w:ascii="Calibri" w:hAnsi="Calibri"/>
                <w:szCs w:val="24"/>
              </w:rPr>
              <w:t>2.2</w:t>
            </w:r>
          </w:p>
        </w:tc>
      </w:tr>
      <w:tr w:rsidR="001900B7" w:rsidRPr="006137B4" w:rsidTr="0064379A">
        <w:trPr>
          <w:trHeight w:val="560"/>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Unemployment</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w:t>
            </w:r>
            <w:r>
              <w:rPr>
                <w:rFonts w:ascii="Calibri" w:hAnsi="Calibri" w:cs="Arial"/>
                <w:i/>
                <w:position w:val="-20"/>
                <w:sz w:val="20"/>
                <w:szCs w:val="24"/>
              </w:rPr>
              <w:t xml:space="preserve">% rate, </w:t>
            </w:r>
            <w:r w:rsidRPr="00C82220">
              <w:rPr>
                <w:rFonts w:ascii="Calibri" w:hAnsi="Calibri" w:cs="Arial"/>
                <w:i/>
                <w:position w:val="-20"/>
                <w:sz w:val="20"/>
                <w:szCs w:val="24"/>
              </w:rPr>
              <w:t>all 16 and over)</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4.3</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4.2</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4.0</w:t>
            </w:r>
          </w:p>
        </w:tc>
        <w:tc>
          <w:tcPr>
            <w:tcW w:w="2063" w:type="dxa"/>
            <w:vAlign w:val="center"/>
          </w:tcPr>
          <w:p w:rsidR="001900B7" w:rsidRPr="006137B4" w:rsidRDefault="001900B7" w:rsidP="0064379A">
            <w:pPr>
              <w:jc w:val="center"/>
              <w:rPr>
                <w:rFonts w:ascii="Calibri" w:hAnsi="Calibri"/>
                <w:szCs w:val="24"/>
              </w:rPr>
            </w:pPr>
            <w:r>
              <w:rPr>
                <w:rFonts w:ascii="Calibri" w:hAnsi="Calibri"/>
                <w:szCs w:val="24"/>
              </w:rPr>
              <w:t>3.9</w:t>
            </w:r>
          </w:p>
        </w:tc>
      </w:tr>
      <w:tr w:rsidR="001900B7" w:rsidRPr="006137B4" w:rsidTr="0064379A">
        <w:trPr>
          <w:trHeight w:val="554"/>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Interest Rates</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w:t>
            </w:r>
            <w:r>
              <w:rPr>
                <w:rFonts w:ascii="Calibri" w:hAnsi="Calibri" w:cs="Arial"/>
                <w:i/>
                <w:position w:val="-20"/>
                <w:sz w:val="20"/>
                <w:szCs w:val="24"/>
              </w:rPr>
              <w:t>official Bank Rate</w:t>
            </w:r>
            <w:r w:rsidRPr="00C82220">
              <w:rPr>
                <w:rFonts w:ascii="Calibri" w:hAnsi="Calibri" w:cs="Arial"/>
                <w:i/>
                <w:position w:val="-20"/>
                <w:sz w:val="20"/>
                <w:szCs w:val="24"/>
              </w:rPr>
              <w:t>)</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0.5</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0.5</w:t>
            </w:r>
          </w:p>
        </w:tc>
        <w:tc>
          <w:tcPr>
            <w:tcW w:w="1992" w:type="dxa"/>
            <w:vAlign w:val="center"/>
          </w:tcPr>
          <w:p w:rsidR="001900B7" w:rsidRPr="006137B4" w:rsidRDefault="001900B7" w:rsidP="0064379A">
            <w:pPr>
              <w:jc w:val="center"/>
              <w:rPr>
                <w:rFonts w:ascii="Calibri" w:hAnsi="Calibri"/>
                <w:szCs w:val="24"/>
              </w:rPr>
            </w:pPr>
            <w:r w:rsidRPr="0075549C">
              <w:rPr>
                <w:rFonts w:ascii="Calibri" w:hAnsi="Calibri"/>
                <w:szCs w:val="24"/>
              </w:rPr>
              <w:t>0.6</w:t>
            </w:r>
          </w:p>
        </w:tc>
        <w:tc>
          <w:tcPr>
            <w:tcW w:w="2063" w:type="dxa"/>
            <w:vAlign w:val="center"/>
          </w:tcPr>
          <w:p w:rsidR="001900B7" w:rsidRPr="006137B4" w:rsidRDefault="001900B7" w:rsidP="0064379A">
            <w:pPr>
              <w:jc w:val="center"/>
              <w:rPr>
                <w:rFonts w:ascii="Calibri" w:hAnsi="Calibri"/>
                <w:szCs w:val="24"/>
              </w:rPr>
            </w:pPr>
            <w:r w:rsidRPr="0075549C">
              <w:rPr>
                <w:rFonts w:ascii="Calibri" w:hAnsi="Calibri"/>
                <w:szCs w:val="24"/>
              </w:rPr>
              <w:t>0.8</w:t>
            </w:r>
          </w:p>
        </w:tc>
      </w:tr>
      <w:tr w:rsidR="001900B7" w:rsidRPr="006137B4" w:rsidTr="0064379A">
        <w:trPr>
          <w:trHeight w:val="490"/>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Earnings Growth</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w:t>
            </w:r>
            <w:proofErr w:type="spellStart"/>
            <w:r>
              <w:rPr>
                <w:rFonts w:ascii="Calibri" w:hAnsi="Calibri" w:cs="Arial"/>
                <w:i/>
                <w:position w:val="-20"/>
                <w:sz w:val="20"/>
                <w:szCs w:val="24"/>
              </w:rPr>
              <w:t>Excl</w:t>
            </w:r>
            <w:proofErr w:type="spellEnd"/>
            <w:r>
              <w:rPr>
                <w:rFonts w:ascii="Calibri" w:hAnsi="Calibri" w:cs="Arial"/>
                <w:i/>
                <w:position w:val="-20"/>
                <w:sz w:val="20"/>
                <w:szCs w:val="24"/>
              </w:rPr>
              <w:t xml:space="preserve"> bonuses, % change YoY)</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2.2</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2.5</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2.5</w:t>
            </w:r>
          </w:p>
        </w:tc>
        <w:tc>
          <w:tcPr>
            <w:tcW w:w="2063" w:type="dxa"/>
            <w:vAlign w:val="center"/>
          </w:tcPr>
          <w:p w:rsidR="001900B7" w:rsidRPr="006137B4" w:rsidRDefault="001900B7" w:rsidP="0064379A">
            <w:pPr>
              <w:jc w:val="center"/>
              <w:rPr>
                <w:rFonts w:ascii="Calibri" w:hAnsi="Calibri"/>
                <w:szCs w:val="24"/>
              </w:rPr>
            </w:pPr>
            <w:r>
              <w:rPr>
                <w:rFonts w:ascii="Calibri" w:hAnsi="Calibri"/>
                <w:szCs w:val="24"/>
              </w:rPr>
              <w:t>3.0</w:t>
            </w:r>
          </w:p>
        </w:tc>
      </w:tr>
      <w:tr w:rsidR="001900B7" w:rsidRPr="006137B4" w:rsidTr="0064379A">
        <w:trPr>
          <w:trHeight w:val="556"/>
        </w:trPr>
        <w:tc>
          <w:tcPr>
            <w:tcW w:w="3984" w:type="dxa"/>
            <w:gridSpan w:val="2"/>
            <w:shd w:val="clear" w:color="auto" w:fill="F2F2F2"/>
            <w:vAlign w:val="center"/>
          </w:tcPr>
          <w:p w:rsidR="001900B7" w:rsidRDefault="001900B7" w:rsidP="0064379A">
            <w:pPr>
              <w:rPr>
                <w:rFonts w:ascii="Calibri" w:hAnsi="Calibri" w:cs="Arial"/>
                <w:b/>
                <w:position w:val="-20"/>
                <w:szCs w:val="24"/>
              </w:rPr>
            </w:pPr>
            <w:r>
              <w:rPr>
                <w:rFonts w:ascii="Calibri" w:hAnsi="Calibri" w:cs="Arial"/>
                <w:b/>
                <w:position w:val="-20"/>
                <w:szCs w:val="24"/>
              </w:rPr>
              <w:t xml:space="preserve">Lowest Sterling/Euro Exchange rate  </w:t>
            </w:r>
          </w:p>
          <w:p w:rsidR="001900B7" w:rsidRPr="006137B4" w:rsidRDefault="001900B7" w:rsidP="0064379A">
            <w:pPr>
              <w:rPr>
                <w:rFonts w:ascii="Calibri" w:hAnsi="Calibri"/>
                <w:szCs w:val="24"/>
              </w:rPr>
            </w:pPr>
            <w:r w:rsidRPr="00C82220">
              <w:rPr>
                <w:rFonts w:ascii="Calibri" w:hAnsi="Calibri" w:cs="Arial"/>
                <w:i/>
                <w:position w:val="-20"/>
                <w:sz w:val="20"/>
                <w:szCs w:val="24"/>
              </w:rPr>
              <w:t>(</w:t>
            </w:r>
            <w:r>
              <w:rPr>
                <w:rFonts w:ascii="Calibri" w:hAnsi="Calibri" w:cs="Arial"/>
                <w:i/>
                <w:position w:val="-20"/>
                <w:sz w:val="20"/>
                <w:szCs w:val="24"/>
              </w:rPr>
              <w:t>lowest point between 21</w:t>
            </w:r>
            <w:r w:rsidRPr="007B1177">
              <w:rPr>
                <w:rFonts w:ascii="Calibri" w:hAnsi="Calibri" w:cs="Arial"/>
                <w:i/>
                <w:position w:val="-20"/>
                <w:sz w:val="20"/>
                <w:szCs w:val="24"/>
                <w:vertAlign w:val="superscript"/>
              </w:rPr>
              <w:t>st</w:t>
            </w:r>
            <w:r>
              <w:rPr>
                <w:rFonts w:ascii="Calibri" w:hAnsi="Calibri" w:cs="Arial"/>
                <w:i/>
                <w:position w:val="-20"/>
                <w:sz w:val="20"/>
                <w:szCs w:val="24"/>
              </w:rPr>
              <w:t xml:space="preserve"> Jan – 31</w:t>
            </w:r>
            <w:r w:rsidRPr="006C6A47">
              <w:rPr>
                <w:rFonts w:ascii="Calibri" w:hAnsi="Calibri" w:cs="Arial"/>
                <w:i/>
                <w:position w:val="-20"/>
                <w:sz w:val="20"/>
                <w:szCs w:val="24"/>
                <w:vertAlign w:val="superscript"/>
              </w:rPr>
              <w:t>st</w:t>
            </w:r>
            <w:r>
              <w:rPr>
                <w:rFonts w:ascii="Calibri" w:hAnsi="Calibri" w:cs="Arial"/>
                <w:i/>
                <w:position w:val="-20"/>
                <w:sz w:val="20"/>
                <w:szCs w:val="24"/>
              </w:rPr>
              <w:t xml:space="preserve"> Oct)</w:t>
            </w:r>
          </w:p>
        </w:tc>
        <w:tc>
          <w:tcPr>
            <w:tcW w:w="6047" w:type="dxa"/>
            <w:gridSpan w:val="3"/>
            <w:vAlign w:val="center"/>
          </w:tcPr>
          <w:p w:rsidR="001900B7" w:rsidRPr="006137B4" w:rsidRDefault="001900B7" w:rsidP="0064379A">
            <w:pPr>
              <w:jc w:val="center"/>
              <w:rPr>
                <w:rFonts w:ascii="Calibri" w:hAnsi="Calibri"/>
                <w:szCs w:val="24"/>
              </w:rPr>
            </w:pPr>
            <w:r>
              <w:rPr>
                <w:rFonts w:ascii="Calibri" w:hAnsi="Calibri"/>
                <w:szCs w:val="24"/>
              </w:rPr>
              <w:t>1.14</w:t>
            </w:r>
          </w:p>
        </w:tc>
      </w:tr>
      <w:bookmarkEnd w:id="1"/>
    </w:tbl>
    <w:p w:rsidR="001900B7" w:rsidRDefault="001900B7" w:rsidP="001900B7">
      <w:pPr>
        <w:rPr>
          <w:sz w:val="24"/>
          <w:szCs w:val="24"/>
        </w:rPr>
      </w:pPr>
    </w:p>
    <w:p w:rsidR="001900B7" w:rsidRPr="00755A19" w:rsidRDefault="001900B7" w:rsidP="001900B7">
      <w:pPr>
        <w:jc w:val="center"/>
        <w:rPr>
          <w:rFonts w:ascii="Lucida Sans" w:hAnsi="Lucida Sans"/>
          <w:b/>
          <w:i/>
        </w:rPr>
      </w:pPr>
      <w:r>
        <w:rPr>
          <w:rFonts w:ascii="Lucida Sans" w:hAnsi="Lucida Sans"/>
          <w:b/>
          <w:i/>
        </w:rPr>
        <w:t xml:space="preserve">Dr Andrew </w:t>
      </w:r>
      <w:proofErr w:type="spellStart"/>
      <w:r>
        <w:rPr>
          <w:rFonts w:ascii="Lucida Sans" w:hAnsi="Lucida Sans"/>
          <w:b/>
          <w:i/>
        </w:rPr>
        <w:t>Sentance</w:t>
      </w:r>
      <w:proofErr w:type="spellEnd"/>
      <w:r>
        <w:rPr>
          <w:rFonts w:ascii="Lucida Sans" w:hAnsi="Lucida Sans"/>
          <w:b/>
          <w:i/>
        </w:rPr>
        <w:t xml:space="preserve"> CBE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992"/>
        <w:gridCol w:w="1992"/>
        <w:gridCol w:w="1992"/>
        <w:gridCol w:w="2063"/>
      </w:tblGrid>
      <w:tr w:rsidR="001900B7" w:rsidRPr="006137B4" w:rsidTr="0064379A">
        <w:tc>
          <w:tcPr>
            <w:tcW w:w="1992" w:type="dxa"/>
            <w:shd w:val="clear" w:color="auto" w:fill="BFBFBF"/>
          </w:tcPr>
          <w:p w:rsidR="001900B7" w:rsidRPr="006137B4" w:rsidRDefault="001900B7" w:rsidP="0064379A">
            <w:pPr>
              <w:rPr>
                <w:rFonts w:ascii="Calibri" w:hAnsi="Calibri" w:cs="Arial"/>
                <w:b/>
                <w:position w:val="-20"/>
                <w:szCs w:val="24"/>
              </w:rPr>
            </w:pPr>
          </w:p>
        </w:tc>
        <w:tc>
          <w:tcPr>
            <w:tcW w:w="1992" w:type="dxa"/>
            <w:shd w:val="clear" w:color="auto" w:fill="BFBFBF"/>
          </w:tcPr>
          <w:p w:rsidR="001900B7" w:rsidRPr="006137B4" w:rsidRDefault="001900B7" w:rsidP="0064379A">
            <w:pPr>
              <w:jc w:val="center"/>
              <w:rPr>
                <w:rFonts w:ascii="Calibri" w:hAnsi="Calibri"/>
                <w:b/>
                <w:szCs w:val="24"/>
              </w:rPr>
            </w:pPr>
            <w:r>
              <w:rPr>
                <w:rFonts w:ascii="Calibri" w:hAnsi="Calibri"/>
                <w:b/>
                <w:szCs w:val="24"/>
              </w:rPr>
              <w:t>2017</w:t>
            </w:r>
          </w:p>
        </w:tc>
        <w:tc>
          <w:tcPr>
            <w:tcW w:w="6047" w:type="dxa"/>
            <w:gridSpan w:val="3"/>
            <w:shd w:val="clear" w:color="auto" w:fill="BFBFBF"/>
          </w:tcPr>
          <w:p w:rsidR="001900B7" w:rsidRPr="006137B4" w:rsidRDefault="001900B7" w:rsidP="0064379A">
            <w:pPr>
              <w:jc w:val="center"/>
              <w:rPr>
                <w:rFonts w:ascii="Calibri" w:hAnsi="Calibri"/>
                <w:b/>
                <w:szCs w:val="24"/>
              </w:rPr>
            </w:pPr>
            <w:r>
              <w:rPr>
                <w:rFonts w:ascii="Calibri" w:hAnsi="Calibri"/>
                <w:b/>
                <w:szCs w:val="24"/>
              </w:rPr>
              <w:t>2018</w:t>
            </w:r>
          </w:p>
        </w:tc>
      </w:tr>
      <w:tr w:rsidR="001900B7" w:rsidRPr="006137B4" w:rsidTr="0064379A">
        <w:tc>
          <w:tcPr>
            <w:tcW w:w="1992" w:type="dxa"/>
            <w:shd w:val="clear" w:color="auto" w:fill="F2F2F2"/>
          </w:tcPr>
          <w:p w:rsidR="001900B7" w:rsidRPr="006137B4" w:rsidRDefault="001900B7" w:rsidP="0064379A">
            <w:pPr>
              <w:rPr>
                <w:rFonts w:ascii="Calibri" w:hAnsi="Calibri" w:cs="Arial"/>
                <w:b/>
                <w:position w:val="-20"/>
                <w:szCs w:val="24"/>
              </w:rPr>
            </w:pPr>
          </w:p>
        </w:tc>
        <w:tc>
          <w:tcPr>
            <w:tcW w:w="1992"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Q4</w:t>
            </w:r>
          </w:p>
        </w:tc>
        <w:tc>
          <w:tcPr>
            <w:tcW w:w="1992"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Q1</w:t>
            </w:r>
          </w:p>
        </w:tc>
        <w:tc>
          <w:tcPr>
            <w:tcW w:w="1992"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Q2</w:t>
            </w:r>
          </w:p>
        </w:tc>
        <w:tc>
          <w:tcPr>
            <w:tcW w:w="2063" w:type="dxa"/>
            <w:shd w:val="clear" w:color="auto" w:fill="F2F2F2"/>
          </w:tcPr>
          <w:p w:rsidR="001900B7" w:rsidRPr="006137B4" w:rsidRDefault="001900B7" w:rsidP="0064379A">
            <w:pPr>
              <w:jc w:val="center"/>
              <w:rPr>
                <w:rFonts w:ascii="Calibri" w:hAnsi="Calibri"/>
                <w:b/>
                <w:szCs w:val="24"/>
              </w:rPr>
            </w:pPr>
            <w:r w:rsidRPr="006137B4">
              <w:rPr>
                <w:rFonts w:ascii="Calibri" w:hAnsi="Calibri"/>
                <w:b/>
                <w:szCs w:val="24"/>
              </w:rPr>
              <w:t>Q3</w:t>
            </w:r>
          </w:p>
        </w:tc>
      </w:tr>
      <w:tr w:rsidR="001900B7" w:rsidRPr="006137B4" w:rsidTr="0064379A">
        <w:trPr>
          <w:trHeight w:val="572"/>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lastRenderedPageBreak/>
              <w:t>GDP</w:t>
            </w:r>
            <w:r>
              <w:rPr>
                <w:rFonts w:ascii="Calibri" w:hAnsi="Calibri" w:cs="Arial"/>
                <w:b/>
                <w:position w:val="-20"/>
                <w:szCs w:val="24"/>
              </w:rPr>
              <w:t xml:space="preserve"> Growth</w:t>
            </w:r>
          </w:p>
          <w:p w:rsidR="001900B7" w:rsidRPr="00C82220" w:rsidRDefault="001900B7" w:rsidP="0064379A">
            <w:pPr>
              <w:rPr>
                <w:rFonts w:ascii="Calibri" w:hAnsi="Calibri" w:cs="Arial"/>
                <w:i/>
                <w:position w:val="-20"/>
                <w:szCs w:val="24"/>
              </w:rPr>
            </w:pPr>
            <w:r w:rsidRPr="00C82220">
              <w:rPr>
                <w:rFonts w:ascii="Calibri" w:hAnsi="Calibri" w:cs="Arial"/>
                <w:i/>
                <w:position w:val="-20"/>
                <w:sz w:val="20"/>
                <w:szCs w:val="24"/>
              </w:rPr>
              <w:t>(Quarterly, % change)</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0.3</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0.3</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0.4</w:t>
            </w:r>
          </w:p>
        </w:tc>
        <w:tc>
          <w:tcPr>
            <w:tcW w:w="2063" w:type="dxa"/>
            <w:vAlign w:val="center"/>
          </w:tcPr>
          <w:p w:rsidR="001900B7" w:rsidRPr="006137B4" w:rsidRDefault="001900B7" w:rsidP="0064379A">
            <w:pPr>
              <w:jc w:val="center"/>
              <w:rPr>
                <w:rFonts w:ascii="Calibri" w:hAnsi="Calibri"/>
                <w:szCs w:val="24"/>
              </w:rPr>
            </w:pPr>
            <w:r>
              <w:rPr>
                <w:rFonts w:ascii="Calibri" w:hAnsi="Calibri"/>
                <w:szCs w:val="24"/>
              </w:rPr>
              <w:t>0.4</w:t>
            </w:r>
          </w:p>
        </w:tc>
      </w:tr>
      <w:tr w:rsidR="001900B7" w:rsidRPr="006137B4" w:rsidTr="0064379A">
        <w:trPr>
          <w:trHeight w:val="552"/>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Inflation</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 xml:space="preserve">(CPI All Items, % change </w:t>
            </w:r>
            <w:r>
              <w:rPr>
                <w:rFonts w:ascii="Calibri" w:hAnsi="Calibri" w:cs="Arial"/>
                <w:i/>
                <w:position w:val="-20"/>
                <w:sz w:val="20"/>
                <w:szCs w:val="24"/>
              </w:rPr>
              <w:t>YoY</w:t>
            </w:r>
            <w:r w:rsidRPr="00C82220">
              <w:rPr>
                <w:rFonts w:ascii="Calibri" w:hAnsi="Calibri" w:cs="Arial"/>
                <w:i/>
                <w:position w:val="-20"/>
                <w:sz w:val="20"/>
                <w:szCs w:val="24"/>
              </w:rPr>
              <w:t>)</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3.0</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2.9</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2.8</w:t>
            </w:r>
          </w:p>
        </w:tc>
        <w:tc>
          <w:tcPr>
            <w:tcW w:w="2063" w:type="dxa"/>
            <w:vAlign w:val="center"/>
          </w:tcPr>
          <w:p w:rsidR="001900B7" w:rsidRPr="006137B4" w:rsidRDefault="001900B7" w:rsidP="0064379A">
            <w:pPr>
              <w:jc w:val="center"/>
              <w:rPr>
                <w:rFonts w:ascii="Calibri" w:hAnsi="Calibri"/>
                <w:szCs w:val="24"/>
              </w:rPr>
            </w:pPr>
            <w:r>
              <w:rPr>
                <w:rFonts w:ascii="Calibri" w:hAnsi="Calibri"/>
                <w:szCs w:val="24"/>
              </w:rPr>
              <w:t>2.6</w:t>
            </w:r>
          </w:p>
        </w:tc>
      </w:tr>
      <w:tr w:rsidR="001900B7" w:rsidRPr="006137B4" w:rsidTr="0064379A">
        <w:trPr>
          <w:trHeight w:val="560"/>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Unemployment</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w:t>
            </w:r>
            <w:r>
              <w:rPr>
                <w:rFonts w:ascii="Calibri" w:hAnsi="Calibri" w:cs="Arial"/>
                <w:i/>
                <w:position w:val="-20"/>
                <w:sz w:val="20"/>
                <w:szCs w:val="24"/>
              </w:rPr>
              <w:t xml:space="preserve">% rate, </w:t>
            </w:r>
            <w:r w:rsidRPr="00C82220">
              <w:rPr>
                <w:rFonts w:ascii="Calibri" w:hAnsi="Calibri" w:cs="Arial"/>
                <w:i/>
                <w:position w:val="-20"/>
                <w:sz w:val="20"/>
                <w:szCs w:val="24"/>
              </w:rPr>
              <w:t>all 16 and over)</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4.3</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4.3</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4.4</w:t>
            </w:r>
          </w:p>
        </w:tc>
        <w:tc>
          <w:tcPr>
            <w:tcW w:w="2063" w:type="dxa"/>
            <w:vAlign w:val="center"/>
          </w:tcPr>
          <w:p w:rsidR="001900B7" w:rsidRPr="006137B4" w:rsidRDefault="001900B7" w:rsidP="0064379A">
            <w:pPr>
              <w:jc w:val="center"/>
              <w:rPr>
                <w:rFonts w:ascii="Calibri" w:hAnsi="Calibri"/>
                <w:szCs w:val="24"/>
              </w:rPr>
            </w:pPr>
            <w:r>
              <w:rPr>
                <w:rFonts w:ascii="Calibri" w:hAnsi="Calibri"/>
                <w:szCs w:val="24"/>
              </w:rPr>
              <w:t>4.5</w:t>
            </w:r>
          </w:p>
        </w:tc>
      </w:tr>
      <w:tr w:rsidR="001900B7" w:rsidRPr="006137B4" w:rsidTr="0064379A">
        <w:trPr>
          <w:trHeight w:val="554"/>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Interest Rates</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w:t>
            </w:r>
            <w:r>
              <w:rPr>
                <w:rFonts w:ascii="Calibri" w:hAnsi="Calibri" w:cs="Arial"/>
                <w:i/>
                <w:position w:val="-20"/>
                <w:sz w:val="20"/>
                <w:szCs w:val="24"/>
              </w:rPr>
              <w:t>official Bank Rate</w:t>
            </w:r>
            <w:r w:rsidRPr="00C82220">
              <w:rPr>
                <w:rFonts w:ascii="Calibri" w:hAnsi="Calibri" w:cs="Arial"/>
                <w:i/>
                <w:position w:val="-20"/>
                <w:sz w:val="20"/>
                <w:szCs w:val="24"/>
              </w:rPr>
              <w:t>)</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0.4</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0.5</w:t>
            </w:r>
          </w:p>
        </w:tc>
        <w:tc>
          <w:tcPr>
            <w:tcW w:w="1992" w:type="dxa"/>
            <w:vAlign w:val="center"/>
          </w:tcPr>
          <w:p w:rsidR="001900B7" w:rsidRPr="006137B4" w:rsidRDefault="001900B7" w:rsidP="0064379A">
            <w:pPr>
              <w:jc w:val="center"/>
              <w:rPr>
                <w:rFonts w:ascii="Calibri" w:hAnsi="Calibri"/>
                <w:szCs w:val="24"/>
              </w:rPr>
            </w:pPr>
            <w:r w:rsidRPr="0075549C">
              <w:rPr>
                <w:rFonts w:ascii="Calibri" w:hAnsi="Calibri"/>
                <w:szCs w:val="24"/>
              </w:rPr>
              <w:t>0.</w:t>
            </w:r>
            <w:r>
              <w:rPr>
                <w:rFonts w:ascii="Calibri" w:hAnsi="Calibri"/>
                <w:szCs w:val="24"/>
              </w:rPr>
              <w:t>7</w:t>
            </w:r>
          </w:p>
        </w:tc>
        <w:tc>
          <w:tcPr>
            <w:tcW w:w="2063" w:type="dxa"/>
            <w:vAlign w:val="center"/>
          </w:tcPr>
          <w:p w:rsidR="001900B7" w:rsidRPr="006137B4" w:rsidRDefault="001900B7" w:rsidP="0064379A">
            <w:pPr>
              <w:jc w:val="center"/>
              <w:rPr>
                <w:rFonts w:ascii="Calibri" w:hAnsi="Calibri"/>
                <w:szCs w:val="24"/>
              </w:rPr>
            </w:pPr>
            <w:r w:rsidRPr="0075549C">
              <w:rPr>
                <w:rFonts w:ascii="Calibri" w:hAnsi="Calibri"/>
                <w:szCs w:val="24"/>
              </w:rPr>
              <w:t>0.8</w:t>
            </w:r>
          </w:p>
        </w:tc>
      </w:tr>
      <w:tr w:rsidR="001900B7" w:rsidRPr="006137B4" w:rsidTr="0064379A">
        <w:trPr>
          <w:trHeight w:val="490"/>
        </w:trPr>
        <w:tc>
          <w:tcPr>
            <w:tcW w:w="1992" w:type="dxa"/>
            <w:shd w:val="clear" w:color="auto" w:fill="F2F2F2"/>
            <w:vAlign w:val="center"/>
          </w:tcPr>
          <w:p w:rsidR="001900B7" w:rsidRDefault="001900B7" w:rsidP="0064379A">
            <w:pPr>
              <w:rPr>
                <w:rFonts w:ascii="Calibri" w:hAnsi="Calibri" w:cs="Arial"/>
                <w:b/>
                <w:position w:val="-20"/>
                <w:szCs w:val="24"/>
              </w:rPr>
            </w:pPr>
            <w:r w:rsidRPr="006137B4">
              <w:rPr>
                <w:rFonts w:ascii="Calibri" w:hAnsi="Calibri" w:cs="Arial"/>
                <w:b/>
                <w:position w:val="-20"/>
                <w:szCs w:val="24"/>
              </w:rPr>
              <w:t>Earnings Growth</w:t>
            </w:r>
          </w:p>
          <w:p w:rsidR="001900B7" w:rsidRPr="006137B4" w:rsidRDefault="001900B7" w:rsidP="0064379A">
            <w:pPr>
              <w:rPr>
                <w:rFonts w:ascii="Calibri" w:hAnsi="Calibri" w:cs="Arial"/>
                <w:b/>
                <w:position w:val="-20"/>
                <w:szCs w:val="24"/>
              </w:rPr>
            </w:pPr>
            <w:r w:rsidRPr="00C82220">
              <w:rPr>
                <w:rFonts w:ascii="Calibri" w:hAnsi="Calibri" w:cs="Arial"/>
                <w:i/>
                <w:position w:val="-20"/>
                <w:sz w:val="20"/>
                <w:szCs w:val="24"/>
              </w:rPr>
              <w:t>(</w:t>
            </w:r>
            <w:proofErr w:type="spellStart"/>
            <w:r>
              <w:rPr>
                <w:rFonts w:ascii="Calibri" w:hAnsi="Calibri" w:cs="Arial"/>
                <w:i/>
                <w:position w:val="-20"/>
                <w:sz w:val="20"/>
                <w:szCs w:val="24"/>
              </w:rPr>
              <w:t>Excl</w:t>
            </w:r>
            <w:proofErr w:type="spellEnd"/>
            <w:r>
              <w:rPr>
                <w:rFonts w:ascii="Calibri" w:hAnsi="Calibri" w:cs="Arial"/>
                <w:i/>
                <w:position w:val="-20"/>
                <w:sz w:val="20"/>
                <w:szCs w:val="24"/>
              </w:rPr>
              <w:t xml:space="preserve"> bonuses, % change YoY)</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2.4</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2.5</w:t>
            </w:r>
          </w:p>
        </w:tc>
        <w:tc>
          <w:tcPr>
            <w:tcW w:w="1992" w:type="dxa"/>
            <w:vAlign w:val="center"/>
          </w:tcPr>
          <w:p w:rsidR="001900B7" w:rsidRPr="006137B4" w:rsidRDefault="001900B7" w:rsidP="0064379A">
            <w:pPr>
              <w:jc w:val="center"/>
              <w:rPr>
                <w:rFonts w:ascii="Calibri" w:hAnsi="Calibri"/>
                <w:szCs w:val="24"/>
              </w:rPr>
            </w:pPr>
            <w:r>
              <w:rPr>
                <w:rFonts w:ascii="Calibri" w:hAnsi="Calibri"/>
                <w:szCs w:val="24"/>
              </w:rPr>
              <w:t>2.7</w:t>
            </w:r>
          </w:p>
        </w:tc>
        <w:tc>
          <w:tcPr>
            <w:tcW w:w="2063" w:type="dxa"/>
            <w:vAlign w:val="center"/>
          </w:tcPr>
          <w:p w:rsidR="001900B7" w:rsidRPr="006137B4" w:rsidRDefault="001900B7" w:rsidP="0064379A">
            <w:pPr>
              <w:jc w:val="center"/>
              <w:rPr>
                <w:rFonts w:ascii="Calibri" w:hAnsi="Calibri"/>
                <w:szCs w:val="24"/>
              </w:rPr>
            </w:pPr>
            <w:r>
              <w:rPr>
                <w:rFonts w:ascii="Calibri" w:hAnsi="Calibri"/>
                <w:szCs w:val="24"/>
              </w:rPr>
              <w:t>2.8</w:t>
            </w:r>
          </w:p>
        </w:tc>
      </w:tr>
      <w:tr w:rsidR="001900B7" w:rsidRPr="006137B4" w:rsidTr="0064379A">
        <w:trPr>
          <w:trHeight w:val="556"/>
        </w:trPr>
        <w:tc>
          <w:tcPr>
            <w:tcW w:w="3984" w:type="dxa"/>
            <w:gridSpan w:val="2"/>
            <w:shd w:val="clear" w:color="auto" w:fill="F2F2F2"/>
            <w:vAlign w:val="center"/>
          </w:tcPr>
          <w:p w:rsidR="001900B7" w:rsidRDefault="001900B7" w:rsidP="0064379A">
            <w:pPr>
              <w:rPr>
                <w:rFonts w:ascii="Calibri" w:hAnsi="Calibri" w:cs="Arial"/>
                <w:b/>
                <w:position w:val="-20"/>
                <w:szCs w:val="24"/>
              </w:rPr>
            </w:pPr>
            <w:r>
              <w:rPr>
                <w:rFonts w:ascii="Calibri" w:hAnsi="Calibri" w:cs="Arial"/>
                <w:b/>
                <w:position w:val="-20"/>
                <w:szCs w:val="24"/>
              </w:rPr>
              <w:t xml:space="preserve">Lowest Sterling/Euro Exchange rate  </w:t>
            </w:r>
          </w:p>
          <w:p w:rsidR="001900B7" w:rsidRPr="006137B4" w:rsidRDefault="001900B7" w:rsidP="0064379A">
            <w:pPr>
              <w:rPr>
                <w:rFonts w:ascii="Calibri" w:hAnsi="Calibri"/>
                <w:szCs w:val="24"/>
              </w:rPr>
            </w:pPr>
            <w:r w:rsidRPr="00C82220">
              <w:rPr>
                <w:rFonts w:ascii="Calibri" w:hAnsi="Calibri" w:cs="Arial"/>
                <w:i/>
                <w:position w:val="-20"/>
                <w:sz w:val="20"/>
                <w:szCs w:val="24"/>
              </w:rPr>
              <w:t>(</w:t>
            </w:r>
            <w:r>
              <w:rPr>
                <w:rFonts w:ascii="Calibri" w:hAnsi="Calibri" w:cs="Arial"/>
                <w:i/>
                <w:position w:val="-20"/>
                <w:sz w:val="20"/>
                <w:szCs w:val="24"/>
              </w:rPr>
              <w:t>lowest point between 21</w:t>
            </w:r>
            <w:r w:rsidRPr="007B1177">
              <w:rPr>
                <w:rFonts w:ascii="Calibri" w:hAnsi="Calibri" w:cs="Arial"/>
                <w:i/>
                <w:position w:val="-20"/>
                <w:sz w:val="20"/>
                <w:szCs w:val="24"/>
                <w:vertAlign w:val="superscript"/>
              </w:rPr>
              <w:t>st</w:t>
            </w:r>
            <w:r>
              <w:rPr>
                <w:rFonts w:ascii="Calibri" w:hAnsi="Calibri" w:cs="Arial"/>
                <w:i/>
                <w:position w:val="-20"/>
                <w:sz w:val="20"/>
                <w:szCs w:val="24"/>
              </w:rPr>
              <w:t xml:space="preserve"> Jan – 31</w:t>
            </w:r>
            <w:r w:rsidRPr="006C6A47">
              <w:rPr>
                <w:rFonts w:ascii="Calibri" w:hAnsi="Calibri" w:cs="Arial"/>
                <w:i/>
                <w:position w:val="-20"/>
                <w:sz w:val="20"/>
                <w:szCs w:val="24"/>
                <w:vertAlign w:val="superscript"/>
              </w:rPr>
              <w:t>st</w:t>
            </w:r>
            <w:r>
              <w:rPr>
                <w:rFonts w:ascii="Calibri" w:hAnsi="Calibri" w:cs="Arial"/>
                <w:i/>
                <w:position w:val="-20"/>
                <w:sz w:val="20"/>
                <w:szCs w:val="24"/>
              </w:rPr>
              <w:t xml:space="preserve"> Oct)</w:t>
            </w:r>
          </w:p>
        </w:tc>
        <w:tc>
          <w:tcPr>
            <w:tcW w:w="6047" w:type="dxa"/>
            <w:gridSpan w:val="3"/>
            <w:vAlign w:val="center"/>
          </w:tcPr>
          <w:p w:rsidR="001900B7" w:rsidRPr="006137B4" w:rsidRDefault="001900B7" w:rsidP="0064379A">
            <w:pPr>
              <w:jc w:val="center"/>
              <w:rPr>
                <w:rFonts w:ascii="Calibri" w:hAnsi="Calibri"/>
                <w:szCs w:val="24"/>
              </w:rPr>
            </w:pPr>
            <w:r>
              <w:rPr>
                <w:rFonts w:ascii="Calibri" w:hAnsi="Calibri"/>
                <w:szCs w:val="24"/>
              </w:rPr>
              <w:t>1.05</w:t>
            </w:r>
          </w:p>
        </w:tc>
      </w:tr>
    </w:tbl>
    <w:p w:rsidR="000D421F" w:rsidRPr="000B162C" w:rsidRDefault="000D421F">
      <w:pPr>
        <w:rPr>
          <w:rFonts w:cstheme="minorHAnsi"/>
          <w:sz w:val="24"/>
          <w:szCs w:val="24"/>
        </w:rPr>
      </w:pPr>
    </w:p>
    <w:p w:rsidR="000D421F" w:rsidRPr="000B162C" w:rsidRDefault="000B162C">
      <w:pPr>
        <w:rPr>
          <w:rFonts w:cstheme="minorHAnsi"/>
          <w:b/>
          <w:sz w:val="24"/>
          <w:szCs w:val="24"/>
        </w:rPr>
      </w:pPr>
      <w:r w:rsidRPr="000B162C">
        <w:rPr>
          <w:rFonts w:cstheme="minorHAnsi"/>
          <w:b/>
          <w:sz w:val="24"/>
          <w:szCs w:val="24"/>
        </w:rPr>
        <w:t>Competition Entry: 15 minutes</w:t>
      </w:r>
    </w:p>
    <w:p w:rsidR="000B162C" w:rsidRPr="000B162C" w:rsidRDefault="000B162C">
      <w:pPr>
        <w:rPr>
          <w:rFonts w:cstheme="minorHAnsi"/>
          <w:sz w:val="24"/>
          <w:szCs w:val="24"/>
        </w:rPr>
      </w:pPr>
      <w:r w:rsidRPr="000B162C">
        <w:rPr>
          <w:rFonts w:cstheme="minorHAnsi"/>
          <w:sz w:val="24"/>
          <w:szCs w:val="24"/>
        </w:rPr>
        <w:t>R</w:t>
      </w:r>
      <w:r w:rsidR="000D421F" w:rsidRPr="000B162C">
        <w:rPr>
          <w:rFonts w:cstheme="minorHAnsi"/>
          <w:sz w:val="24"/>
          <w:szCs w:val="24"/>
        </w:rPr>
        <w:t xml:space="preserve">equest that each student complete their own set of predictions, to be monitored throughout 2018. </w:t>
      </w:r>
    </w:p>
    <w:p w:rsidR="000D421F" w:rsidRPr="000B162C" w:rsidRDefault="000D421F">
      <w:pPr>
        <w:rPr>
          <w:rFonts w:cstheme="minorHAnsi"/>
          <w:sz w:val="24"/>
          <w:szCs w:val="24"/>
        </w:rPr>
      </w:pPr>
      <w:r w:rsidRPr="000B162C">
        <w:rPr>
          <w:rFonts w:cstheme="minorHAnsi"/>
          <w:sz w:val="24"/>
          <w:szCs w:val="24"/>
        </w:rPr>
        <w:t>Each student will receive a personalised monthly email detailing their position in the overall league table (as well as a school-specific one)</w:t>
      </w:r>
      <w:r w:rsidR="001D17D8" w:rsidRPr="000B162C">
        <w:rPr>
          <w:rFonts w:cstheme="minorHAnsi"/>
          <w:sz w:val="24"/>
          <w:szCs w:val="24"/>
        </w:rPr>
        <w:t xml:space="preserve">. </w:t>
      </w:r>
    </w:p>
    <w:p w:rsidR="000D421F" w:rsidRPr="000B162C" w:rsidRDefault="000D421F">
      <w:pPr>
        <w:rPr>
          <w:rFonts w:cstheme="minorHAnsi"/>
          <w:sz w:val="24"/>
          <w:szCs w:val="24"/>
        </w:rPr>
      </w:pPr>
      <w:r w:rsidRPr="000B162C">
        <w:rPr>
          <w:rFonts w:cstheme="minorHAnsi"/>
          <w:sz w:val="24"/>
          <w:szCs w:val="24"/>
        </w:rPr>
        <w:t xml:space="preserve">Predictions can be submitted via the </w:t>
      </w:r>
      <w:r w:rsidR="008F2366" w:rsidRPr="000B162C">
        <w:rPr>
          <w:rFonts w:cstheme="minorHAnsi"/>
          <w:sz w:val="24"/>
          <w:szCs w:val="24"/>
        </w:rPr>
        <w:t xml:space="preserve">ERC website on a google form at the below web address or via filling </w:t>
      </w:r>
      <w:r w:rsidR="000A482C" w:rsidRPr="000B162C">
        <w:rPr>
          <w:rFonts w:cstheme="minorHAnsi"/>
          <w:sz w:val="24"/>
          <w:szCs w:val="24"/>
        </w:rPr>
        <w:t xml:space="preserve">in the attached excel sheet or by printing the individual entry forms. </w:t>
      </w:r>
    </w:p>
    <w:p w:rsidR="008F2366" w:rsidRPr="000B162C" w:rsidRDefault="008014BE">
      <w:pPr>
        <w:rPr>
          <w:rFonts w:cstheme="minorHAnsi"/>
          <w:sz w:val="24"/>
          <w:szCs w:val="24"/>
        </w:rPr>
      </w:pPr>
      <w:hyperlink r:id="rId8" w:history="1">
        <w:r w:rsidR="008F2366" w:rsidRPr="000B162C">
          <w:rPr>
            <w:rStyle w:val="Hyperlink"/>
            <w:rFonts w:cstheme="minorHAnsi"/>
            <w:sz w:val="24"/>
            <w:szCs w:val="24"/>
          </w:rPr>
          <w:t>https://docs.google.com/forms/d/e/1FAIpQLSeF4j1h7302PDcgwhv3IZZF400HqZtfTpu8B3xKQ2noOj74NA/viewform</w:t>
        </w:r>
      </w:hyperlink>
      <w:r w:rsidR="008F2366" w:rsidRPr="000B162C">
        <w:rPr>
          <w:rFonts w:cstheme="minorHAnsi"/>
          <w:sz w:val="24"/>
          <w:szCs w:val="24"/>
        </w:rPr>
        <w:t xml:space="preserve"> </w:t>
      </w:r>
    </w:p>
    <w:p w:rsidR="008F2366" w:rsidRPr="000B162C" w:rsidRDefault="000B162C">
      <w:pPr>
        <w:rPr>
          <w:rFonts w:cstheme="minorHAnsi"/>
          <w:sz w:val="24"/>
          <w:szCs w:val="24"/>
        </w:rPr>
      </w:pPr>
      <w:r w:rsidRPr="000B162C">
        <w:rPr>
          <w:rFonts w:cstheme="minorHAnsi"/>
          <w:sz w:val="24"/>
          <w:szCs w:val="24"/>
        </w:rPr>
        <w:t xml:space="preserve">Students may </w:t>
      </w:r>
      <w:r w:rsidR="000A482C" w:rsidRPr="000B162C">
        <w:rPr>
          <w:rFonts w:cstheme="minorHAnsi"/>
          <w:sz w:val="24"/>
          <w:szCs w:val="24"/>
        </w:rPr>
        <w:t>use the below guidance for each category:</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676"/>
        <w:gridCol w:w="724"/>
        <w:gridCol w:w="724"/>
        <w:gridCol w:w="724"/>
        <w:gridCol w:w="724"/>
        <w:gridCol w:w="724"/>
        <w:gridCol w:w="724"/>
        <w:gridCol w:w="725"/>
        <w:gridCol w:w="627"/>
        <w:gridCol w:w="639"/>
        <w:gridCol w:w="930"/>
      </w:tblGrid>
      <w:tr w:rsidR="000A482C" w:rsidRPr="000B162C" w:rsidTr="002F5833">
        <w:trPr>
          <w:trHeight w:val="431"/>
          <w:jc w:val="center"/>
        </w:trPr>
        <w:tc>
          <w:tcPr>
            <w:tcW w:w="2149" w:type="dxa"/>
            <w:shd w:val="clear" w:color="auto" w:fill="BFBFBF"/>
          </w:tcPr>
          <w:p w:rsidR="000A482C" w:rsidRPr="000B162C" w:rsidRDefault="000A482C" w:rsidP="002F5833">
            <w:pPr>
              <w:jc w:val="center"/>
              <w:rPr>
                <w:rFonts w:cstheme="minorHAnsi"/>
                <w:b/>
                <w:position w:val="-20"/>
                <w:sz w:val="24"/>
                <w:szCs w:val="24"/>
              </w:rPr>
            </w:pPr>
          </w:p>
        </w:tc>
        <w:tc>
          <w:tcPr>
            <w:tcW w:w="2848" w:type="dxa"/>
            <w:gridSpan w:val="4"/>
            <w:shd w:val="clear" w:color="auto" w:fill="BFBFBF"/>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2015</w:t>
            </w:r>
          </w:p>
        </w:tc>
        <w:tc>
          <w:tcPr>
            <w:tcW w:w="2897" w:type="dxa"/>
            <w:gridSpan w:val="4"/>
            <w:shd w:val="clear" w:color="auto" w:fill="BFBFBF"/>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2016</w:t>
            </w:r>
          </w:p>
        </w:tc>
        <w:tc>
          <w:tcPr>
            <w:tcW w:w="2196" w:type="dxa"/>
            <w:gridSpan w:val="3"/>
            <w:shd w:val="clear" w:color="auto" w:fill="BFBFBF"/>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2017</w:t>
            </w:r>
          </w:p>
        </w:tc>
      </w:tr>
      <w:tr w:rsidR="000A482C" w:rsidRPr="000B162C" w:rsidTr="002F5833">
        <w:trPr>
          <w:trHeight w:val="410"/>
          <w:jc w:val="center"/>
        </w:trPr>
        <w:tc>
          <w:tcPr>
            <w:tcW w:w="2149" w:type="dxa"/>
            <w:shd w:val="clear" w:color="auto" w:fill="F2F2F2"/>
          </w:tcPr>
          <w:p w:rsidR="000A482C" w:rsidRPr="000B162C" w:rsidRDefault="000A482C" w:rsidP="002F5833">
            <w:pPr>
              <w:jc w:val="center"/>
              <w:rPr>
                <w:rFonts w:cstheme="minorHAnsi"/>
                <w:b/>
                <w:position w:val="-20"/>
                <w:sz w:val="24"/>
                <w:szCs w:val="24"/>
              </w:rPr>
            </w:pPr>
          </w:p>
        </w:tc>
        <w:tc>
          <w:tcPr>
            <w:tcW w:w="676"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Q1</w:t>
            </w:r>
          </w:p>
        </w:tc>
        <w:tc>
          <w:tcPr>
            <w:tcW w:w="724"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Q2</w:t>
            </w:r>
          </w:p>
        </w:tc>
        <w:tc>
          <w:tcPr>
            <w:tcW w:w="724"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Q3</w:t>
            </w:r>
          </w:p>
        </w:tc>
        <w:tc>
          <w:tcPr>
            <w:tcW w:w="724"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Q4</w:t>
            </w:r>
          </w:p>
        </w:tc>
        <w:tc>
          <w:tcPr>
            <w:tcW w:w="724"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Q1</w:t>
            </w:r>
          </w:p>
        </w:tc>
        <w:tc>
          <w:tcPr>
            <w:tcW w:w="724"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Q2</w:t>
            </w:r>
          </w:p>
        </w:tc>
        <w:tc>
          <w:tcPr>
            <w:tcW w:w="724"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Q3</w:t>
            </w:r>
          </w:p>
        </w:tc>
        <w:tc>
          <w:tcPr>
            <w:tcW w:w="725"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Q4</w:t>
            </w:r>
          </w:p>
        </w:tc>
        <w:tc>
          <w:tcPr>
            <w:tcW w:w="627"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Q1</w:t>
            </w:r>
          </w:p>
        </w:tc>
        <w:tc>
          <w:tcPr>
            <w:tcW w:w="639"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Q2</w:t>
            </w:r>
          </w:p>
        </w:tc>
        <w:tc>
          <w:tcPr>
            <w:tcW w:w="928" w:type="dxa"/>
            <w:shd w:val="clear" w:color="auto" w:fill="F2F2F2"/>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Q3</w:t>
            </w:r>
          </w:p>
        </w:tc>
      </w:tr>
      <w:tr w:rsidR="000A482C" w:rsidRPr="000B162C" w:rsidTr="002F5833">
        <w:trPr>
          <w:trHeight w:val="410"/>
          <w:jc w:val="center"/>
        </w:trPr>
        <w:tc>
          <w:tcPr>
            <w:tcW w:w="2149" w:type="dxa"/>
            <w:shd w:val="clear" w:color="auto" w:fill="F2F2F2"/>
            <w:vAlign w:val="center"/>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GDP</w:t>
            </w:r>
          </w:p>
        </w:tc>
        <w:tc>
          <w:tcPr>
            <w:tcW w:w="676" w:type="dxa"/>
            <w:vAlign w:val="center"/>
          </w:tcPr>
          <w:p w:rsidR="000A482C" w:rsidRPr="000B162C" w:rsidRDefault="000A482C" w:rsidP="002F5833">
            <w:pPr>
              <w:jc w:val="center"/>
              <w:rPr>
                <w:rFonts w:cstheme="minorHAnsi"/>
                <w:sz w:val="24"/>
                <w:szCs w:val="24"/>
              </w:rPr>
            </w:pPr>
            <w:r w:rsidRPr="000B162C">
              <w:rPr>
                <w:rFonts w:cstheme="minorHAnsi"/>
                <w:sz w:val="24"/>
                <w:szCs w:val="24"/>
              </w:rPr>
              <w:t>0.4</w:t>
            </w:r>
          </w:p>
        </w:tc>
        <w:tc>
          <w:tcPr>
            <w:tcW w:w="724" w:type="dxa"/>
            <w:vAlign w:val="center"/>
          </w:tcPr>
          <w:p w:rsidR="000A482C" w:rsidRPr="000B162C" w:rsidRDefault="000A482C" w:rsidP="002F5833">
            <w:pPr>
              <w:jc w:val="center"/>
              <w:rPr>
                <w:rFonts w:cstheme="minorHAnsi"/>
                <w:sz w:val="24"/>
                <w:szCs w:val="24"/>
              </w:rPr>
            </w:pPr>
            <w:r w:rsidRPr="000B162C">
              <w:rPr>
                <w:rFonts w:cstheme="minorHAnsi"/>
                <w:sz w:val="24"/>
                <w:szCs w:val="24"/>
              </w:rPr>
              <w:t>0.5</w:t>
            </w:r>
          </w:p>
        </w:tc>
        <w:tc>
          <w:tcPr>
            <w:tcW w:w="724" w:type="dxa"/>
            <w:vAlign w:val="center"/>
          </w:tcPr>
          <w:p w:rsidR="000A482C" w:rsidRPr="000B162C" w:rsidRDefault="000A482C" w:rsidP="002F5833">
            <w:pPr>
              <w:jc w:val="center"/>
              <w:rPr>
                <w:rFonts w:cstheme="minorHAnsi"/>
                <w:sz w:val="24"/>
                <w:szCs w:val="24"/>
              </w:rPr>
            </w:pPr>
            <w:r w:rsidRPr="000B162C">
              <w:rPr>
                <w:rFonts w:cstheme="minorHAnsi"/>
                <w:sz w:val="24"/>
                <w:szCs w:val="24"/>
              </w:rPr>
              <w:t>0.4</w:t>
            </w:r>
          </w:p>
        </w:tc>
        <w:tc>
          <w:tcPr>
            <w:tcW w:w="724" w:type="dxa"/>
            <w:vAlign w:val="center"/>
          </w:tcPr>
          <w:p w:rsidR="000A482C" w:rsidRPr="000B162C" w:rsidRDefault="000A482C" w:rsidP="002F5833">
            <w:pPr>
              <w:jc w:val="center"/>
              <w:rPr>
                <w:rFonts w:cstheme="minorHAnsi"/>
                <w:sz w:val="24"/>
                <w:szCs w:val="24"/>
              </w:rPr>
            </w:pPr>
            <w:r w:rsidRPr="000B162C">
              <w:rPr>
                <w:rFonts w:cstheme="minorHAnsi"/>
                <w:sz w:val="24"/>
                <w:szCs w:val="24"/>
              </w:rPr>
              <w:t>0.7</w:t>
            </w:r>
          </w:p>
        </w:tc>
        <w:tc>
          <w:tcPr>
            <w:tcW w:w="724" w:type="dxa"/>
            <w:vAlign w:val="center"/>
          </w:tcPr>
          <w:p w:rsidR="000A482C" w:rsidRPr="000B162C" w:rsidRDefault="000A482C" w:rsidP="002F5833">
            <w:pPr>
              <w:jc w:val="center"/>
              <w:rPr>
                <w:rFonts w:cstheme="minorHAnsi"/>
                <w:sz w:val="24"/>
                <w:szCs w:val="24"/>
              </w:rPr>
            </w:pPr>
            <w:r w:rsidRPr="000B162C">
              <w:rPr>
                <w:rFonts w:cstheme="minorHAnsi"/>
                <w:sz w:val="24"/>
                <w:szCs w:val="24"/>
              </w:rPr>
              <w:t>0.4</w:t>
            </w:r>
          </w:p>
        </w:tc>
        <w:tc>
          <w:tcPr>
            <w:tcW w:w="724" w:type="dxa"/>
            <w:vAlign w:val="center"/>
          </w:tcPr>
          <w:p w:rsidR="000A482C" w:rsidRPr="000B162C" w:rsidRDefault="000A482C" w:rsidP="002F5833">
            <w:pPr>
              <w:jc w:val="center"/>
              <w:rPr>
                <w:rFonts w:cstheme="minorHAnsi"/>
                <w:sz w:val="24"/>
                <w:szCs w:val="24"/>
              </w:rPr>
            </w:pPr>
            <w:r w:rsidRPr="000B162C">
              <w:rPr>
                <w:rFonts w:cstheme="minorHAnsi"/>
                <w:sz w:val="24"/>
                <w:szCs w:val="24"/>
              </w:rPr>
              <w:t>0.7</w:t>
            </w:r>
          </w:p>
        </w:tc>
        <w:tc>
          <w:tcPr>
            <w:tcW w:w="724" w:type="dxa"/>
            <w:vAlign w:val="center"/>
          </w:tcPr>
          <w:p w:rsidR="000A482C" w:rsidRPr="000B162C" w:rsidRDefault="000A482C" w:rsidP="002F5833">
            <w:pPr>
              <w:jc w:val="center"/>
              <w:rPr>
                <w:rFonts w:cstheme="minorHAnsi"/>
                <w:sz w:val="24"/>
                <w:szCs w:val="24"/>
              </w:rPr>
            </w:pPr>
            <w:r w:rsidRPr="000B162C">
              <w:rPr>
                <w:rFonts w:cstheme="minorHAnsi"/>
                <w:sz w:val="24"/>
                <w:szCs w:val="24"/>
              </w:rPr>
              <w:t>0.5</w:t>
            </w:r>
          </w:p>
        </w:tc>
        <w:tc>
          <w:tcPr>
            <w:tcW w:w="725" w:type="dxa"/>
            <w:vAlign w:val="center"/>
          </w:tcPr>
          <w:p w:rsidR="000A482C" w:rsidRPr="000B162C" w:rsidRDefault="000A482C" w:rsidP="002F5833">
            <w:pPr>
              <w:jc w:val="center"/>
              <w:rPr>
                <w:rFonts w:cstheme="minorHAnsi"/>
                <w:sz w:val="24"/>
                <w:szCs w:val="24"/>
              </w:rPr>
            </w:pPr>
            <w:r w:rsidRPr="000B162C">
              <w:rPr>
                <w:rFonts w:cstheme="minorHAnsi"/>
                <w:sz w:val="24"/>
                <w:szCs w:val="24"/>
              </w:rPr>
              <w:t>0.6</w:t>
            </w:r>
          </w:p>
        </w:tc>
        <w:tc>
          <w:tcPr>
            <w:tcW w:w="627" w:type="dxa"/>
            <w:vAlign w:val="center"/>
          </w:tcPr>
          <w:p w:rsidR="000A482C" w:rsidRPr="000B162C" w:rsidRDefault="000A482C" w:rsidP="002F5833">
            <w:pPr>
              <w:jc w:val="center"/>
              <w:rPr>
                <w:rFonts w:cstheme="minorHAnsi"/>
                <w:sz w:val="24"/>
                <w:szCs w:val="24"/>
              </w:rPr>
            </w:pPr>
            <w:r w:rsidRPr="000B162C">
              <w:rPr>
                <w:rFonts w:cstheme="minorHAnsi"/>
                <w:sz w:val="24"/>
                <w:szCs w:val="24"/>
              </w:rPr>
              <w:t>0.3</w:t>
            </w:r>
          </w:p>
        </w:tc>
        <w:tc>
          <w:tcPr>
            <w:tcW w:w="639" w:type="dxa"/>
            <w:vAlign w:val="center"/>
          </w:tcPr>
          <w:p w:rsidR="000A482C" w:rsidRPr="000B162C" w:rsidRDefault="000A482C" w:rsidP="002F5833">
            <w:pPr>
              <w:jc w:val="center"/>
              <w:rPr>
                <w:rFonts w:cstheme="minorHAnsi"/>
                <w:sz w:val="24"/>
                <w:szCs w:val="24"/>
              </w:rPr>
            </w:pPr>
            <w:r w:rsidRPr="000B162C">
              <w:rPr>
                <w:rFonts w:cstheme="minorHAnsi"/>
                <w:sz w:val="24"/>
                <w:szCs w:val="24"/>
              </w:rPr>
              <w:t>0.3</w:t>
            </w:r>
          </w:p>
        </w:tc>
        <w:tc>
          <w:tcPr>
            <w:tcW w:w="928" w:type="dxa"/>
            <w:vAlign w:val="center"/>
          </w:tcPr>
          <w:p w:rsidR="000A482C" w:rsidRPr="000B162C" w:rsidRDefault="000A482C" w:rsidP="002F5833">
            <w:pPr>
              <w:jc w:val="center"/>
              <w:rPr>
                <w:rFonts w:cstheme="minorHAnsi"/>
                <w:sz w:val="24"/>
                <w:szCs w:val="24"/>
              </w:rPr>
            </w:pPr>
            <w:r w:rsidRPr="000B162C">
              <w:rPr>
                <w:rFonts w:cstheme="minorHAnsi"/>
                <w:sz w:val="24"/>
                <w:szCs w:val="24"/>
              </w:rPr>
              <w:t>0.4</w:t>
            </w:r>
          </w:p>
        </w:tc>
      </w:tr>
      <w:tr w:rsidR="000A482C" w:rsidRPr="000B162C" w:rsidTr="002F5833">
        <w:trPr>
          <w:trHeight w:val="512"/>
          <w:jc w:val="center"/>
        </w:trPr>
        <w:tc>
          <w:tcPr>
            <w:tcW w:w="2149" w:type="dxa"/>
            <w:shd w:val="clear" w:color="auto" w:fill="F2F2F2"/>
            <w:vAlign w:val="center"/>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Inflation</w:t>
            </w:r>
          </w:p>
        </w:tc>
        <w:tc>
          <w:tcPr>
            <w:tcW w:w="676"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0.1</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0.0</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0.0</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0.1</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0.4</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0.4</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0.7</w:t>
            </w:r>
          </w:p>
        </w:tc>
        <w:tc>
          <w:tcPr>
            <w:tcW w:w="725"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1.2</w:t>
            </w:r>
          </w:p>
        </w:tc>
        <w:tc>
          <w:tcPr>
            <w:tcW w:w="627"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2.1</w:t>
            </w:r>
          </w:p>
        </w:tc>
        <w:tc>
          <w:tcPr>
            <w:tcW w:w="639"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2.7</w:t>
            </w:r>
          </w:p>
        </w:tc>
        <w:tc>
          <w:tcPr>
            <w:tcW w:w="928"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2.8</w:t>
            </w:r>
          </w:p>
        </w:tc>
      </w:tr>
      <w:tr w:rsidR="000A482C" w:rsidRPr="000B162C" w:rsidTr="002F5833">
        <w:trPr>
          <w:trHeight w:val="512"/>
          <w:jc w:val="center"/>
        </w:trPr>
        <w:tc>
          <w:tcPr>
            <w:tcW w:w="2149" w:type="dxa"/>
            <w:shd w:val="clear" w:color="auto" w:fill="F2F2F2"/>
            <w:vAlign w:val="center"/>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Unemployment</w:t>
            </w:r>
          </w:p>
        </w:tc>
        <w:tc>
          <w:tcPr>
            <w:tcW w:w="676"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5.5</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5.6</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5.3</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5.1</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5.1</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4.9</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4.8</w:t>
            </w:r>
          </w:p>
        </w:tc>
        <w:tc>
          <w:tcPr>
            <w:tcW w:w="725"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4.8</w:t>
            </w:r>
          </w:p>
        </w:tc>
        <w:tc>
          <w:tcPr>
            <w:tcW w:w="627"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4.6</w:t>
            </w:r>
          </w:p>
        </w:tc>
        <w:tc>
          <w:tcPr>
            <w:tcW w:w="639"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4.4</w:t>
            </w:r>
          </w:p>
        </w:tc>
        <w:tc>
          <w:tcPr>
            <w:tcW w:w="928"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4.3</w:t>
            </w:r>
          </w:p>
        </w:tc>
      </w:tr>
      <w:tr w:rsidR="000A482C" w:rsidRPr="000B162C" w:rsidTr="002F5833">
        <w:trPr>
          <w:trHeight w:val="349"/>
          <w:jc w:val="center"/>
        </w:trPr>
        <w:tc>
          <w:tcPr>
            <w:tcW w:w="2149" w:type="dxa"/>
            <w:shd w:val="clear" w:color="auto" w:fill="F2F2F2"/>
            <w:vAlign w:val="center"/>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Interest Rates</w:t>
            </w:r>
          </w:p>
        </w:tc>
        <w:tc>
          <w:tcPr>
            <w:tcW w:w="676"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0.5</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0.5</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0.5</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0.5</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0.5</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0.5</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0.3</w:t>
            </w:r>
          </w:p>
        </w:tc>
        <w:tc>
          <w:tcPr>
            <w:tcW w:w="725"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0.3</w:t>
            </w:r>
          </w:p>
        </w:tc>
        <w:tc>
          <w:tcPr>
            <w:tcW w:w="627"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0.3</w:t>
            </w:r>
          </w:p>
        </w:tc>
        <w:tc>
          <w:tcPr>
            <w:tcW w:w="639"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0.3</w:t>
            </w:r>
          </w:p>
        </w:tc>
        <w:tc>
          <w:tcPr>
            <w:tcW w:w="928"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0.3</w:t>
            </w:r>
          </w:p>
        </w:tc>
      </w:tr>
      <w:tr w:rsidR="000A482C" w:rsidRPr="000B162C" w:rsidTr="002F5833">
        <w:trPr>
          <w:trHeight w:val="349"/>
          <w:jc w:val="center"/>
        </w:trPr>
        <w:tc>
          <w:tcPr>
            <w:tcW w:w="2149" w:type="dxa"/>
            <w:shd w:val="clear" w:color="auto" w:fill="F2F2F2"/>
            <w:vAlign w:val="center"/>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lastRenderedPageBreak/>
              <w:t>Earnings Growth</w:t>
            </w:r>
          </w:p>
        </w:tc>
        <w:tc>
          <w:tcPr>
            <w:tcW w:w="676"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2.3</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2.8</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2.4</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2.0</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2.1</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2.3</w:t>
            </w:r>
          </w:p>
        </w:tc>
        <w:tc>
          <w:tcPr>
            <w:tcW w:w="724"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2.4</w:t>
            </w:r>
          </w:p>
        </w:tc>
        <w:tc>
          <w:tcPr>
            <w:tcW w:w="725"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2.6</w:t>
            </w:r>
          </w:p>
        </w:tc>
        <w:tc>
          <w:tcPr>
            <w:tcW w:w="627"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2.2</w:t>
            </w:r>
          </w:p>
        </w:tc>
        <w:tc>
          <w:tcPr>
            <w:tcW w:w="639"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w:t>
            </w:r>
          </w:p>
        </w:tc>
        <w:tc>
          <w:tcPr>
            <w:tcW w:w="928" w:type="dxa"/>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2.2</w:t>
            </w:r>
          </w:p>
        </w:tc>
      </w:tr>
      <w:tr w:rsidR="000A482C" w:rsidRPr="000B162C" w:rsidTr="002F5833">
        <w:trPr>
          <w:trHeight w:val="349"/>
          <w:jc w:val="center"/>
        </w:trPr>
        <w:tc>
          <w:tcPr>
            <w:tcW w:w="2149" w:type="dxa"/>
            <w:shd w:val="clear" w:color="auto" w:fill="F2F2F2"/>
            <w:vAlign w:val="center"/>
          </w:tcPr>
          <w:p w:rsidR="000A482C" w:rsidRPr="000B162C" w:rsidRDefault="000A482C" w:rsidP="002F5833">
            <w:pPr>
              <w:jc w:val="center"/>
              <w:rPr>
                <w:rFonts w:cstheme="minorHAnsi"/>
                <w:b/>
                <w:position w:val="-20"/>
                <w:sz w:val="24"/>
                <w:szCs w:val="24"/>
              </w:rPr>
            </w:pPr>
            <w:r w:rsidRPr="000B162C">
              <w:rPr>
                <w:rFonts w:cstheme="minorHAnsi"/>
                <w:b/>
                <w:position w:val="-20"/>
                <w:sz w:val="24"/>
                <w:szCs w:val="24"/>
              </w:rPr>
              <w:t>Lowest GBP/EUR</w:t>
            </w:r>
          </w:p>
        </w:tc>
        <w:tc>
          <w:tcPr>
            <w:tcW w:w="2848" w:type="dxa"/>
            <w:gridSpan w:val="4"/>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1.27</w:t>
            </w:r>
          </w:p>
        </w:tc>
        <w:tc>
          <w:tcPr>
            <w:tcW w:w="2897" w:type="dxa"/>
            <w:gridSpan w:val="4"/>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1.10</w:t>
            </w:r>
          </w:p>
        </w:tc>
        <w:tc>
          <w:tcPr>
            <w:tcW w:w="2196" w:type="dxa"/>
            <w:gridSpan w:val="3"/>
            <w:vAlign w:val="center"/>
          </w:tcPr>
          <w:p w:rsidR="000A482C" w:rsidRPr="000B162C" w:rsidRDefault="000A482C" w:rsidP="002F5833">
            <w:pPr>
              <w:spacing w:line="378" w:lineRule="atLeast"/>
              <w:jc w:val="center"/>
              <w:rPr>
                <w:rFonts w:cstheme="minorHAnsi"/>
                <w:color w:val="222222"/>
                <w:sz w:val="24"/>
                <w:szCs w:val="24"/>
              </w:rPr>
            </w:pPr>
            <w:r w:rsidRPr="000B162C">
              <w:rPr>
                <w:rFonts w:cstheme="minorHAnsi"/>
                <w:color w:val="222222"/>
                <w:sz w:val="24"/>
                <w:szCs w:val="24"/>
              </w:rPr>
              <w:t>1.08</w:t>
            </w:r>
          </w:p>
        </w:tc>
      </w:tr>
    </w:tbl>
    <w:p w:rsidR="000A482C" w:rsidRPr="000B162C" w:rsidRDefault="000A482C">
      <w:pPr>
        <w:rPr>
          <w:rFonts w:cstheme="minorHAnsi"/>
          <w:sz w:val="24"/>
          <w:szCs w:val="24"/>
        </w:rPr>
      </w:pPr>
    </w:p>
    <w:p w:rsidR="000A482C" w:rsidRPr="000B162C" w:rsidRDefault="000A482C" w:rsidP="000A482C">
      <w:pPr>
        <w:pStyle w:val="NormalWeb"/>
        <w:shd w:val="clear" w:color="auto" w:fill="FFFFFF"/>
        <w:spacing w:before="0" w:beforeAutospacing="0" w:after="240" w:afterAutospacing="0"/>
        <w:jc w:val="center"/>
        <w:rPr>
          <w:rFonts w:asciiTheme="minorHAnsi" w:hAnsiTheme="minorHAnsi" w:cstheme="minorHAnsi"/>
          <w:color w:val="222222"/>
        </w:rPr>
      </w:pPr>
      <w:r w:rsidRPr="000B162C">
        <w:rPr>
          <w:rStyle w:val="Strong"/>
          <w:rFonts w:asciiTheme="minorHAnsi" w:hAnsiTheme="minorHAnsi" w:cstheme="minorHAnsi"/>
          <w:color w:val="222222"/>
        </w:rPr>
        <w:t>Gross Domestic Product (GDP)</w:t>
      </w:r>
    </w:p>
    <w:p w:rsidR="000A482C" w:rsidRPr="000B162C" w:rsidRDefault="000A482C" w:rsidP="000A482C">
      <w:pPr>
        <w:pStyle w:val="NormalWeb"/>
        <w:shd w:val="clear" w:color="auto" w:fill="FFFFFF"/>
        <w:spacing w:before="0" w:beforeAutospacing="0" w:after="240" w:afterAutospacing="0"/>
        <w:rPr>
          <w:rFonts w:asciiTheme="minorHAnsi" w:hAnsiTheme="minorHAnsi" w:cstheme="minorHAnsi"/>
          <w:color w:val="222222"/>
        </w:rPr>
      </w:pPr>
      <w:r w:rsidRPr="000B162C">
        <w:rPr>
          <w:rFonts w:asciiTheme="minorHAnsi" w:hAnsiTheme="minorHAnsi" w:cstheme="minorHAnsi"/>
          <w:color w:val="222222"/>
        </w:rPr>
        <w:t>GDP is a measure of total output, and is generally considered to be the main indicator of the health of an economy. More specifically, we are after the percentage change in total GDP compared to the previous quarter.  This number can be negative as well as positive (a recession is defined as two consecutive quarters of negative GDP growth).  On a quarterly basis, it tends to range between -1% and +1%, although it could be more or less than that. </w:t>
      </w:r>
    </w:p>
    <w:p w:rsidR="000A482C" w:rsidRPr="000B162C" w:rsidRDefault="000A482C" w:rsidP="000A482C">
      <w:pPr>
        <w:pStyle w:val="NormalWeb"/>
        <w:shd w:val="clear" w:color="auto" w:fill="FFFFFF"/>
        <w:spacing w:before="0" w:beforeAutospacing="0" w:after="240" w:afterAutospacing="0"/>
        <w:jc w:val="center"/>
        <w:rPr>
          <w:rFonts w:asciiTheme="minorHAnsi" w:hAnsiTheme="minorHAnsi" w:cstheme="minorHAnsi"/>
          <w:color w:val="222222"/>
        </w:rPr>
      </w:pPr>
      <w:r w:rsidRPr="000B162C">
        <w:rPr>
          <w:rStyle w:val="Strong"/>
          <w:rFonts w:asciiTheme="minorHAnsi" w:hAnsiTheme="minorHAnsi" w:cstheme="minorHAnsi"/>
          <w:color w:val="222222"/>
        </w:rPr>
        <w:t>Inflation Rate</w:t>
      </w:r>
    </w:p>
    <w:p w:rsidR="000A482C" w:rsidRPr="000B162C" w:rsidRDefault="000A482C" w:rsidP="000A482C">
      <w:pPr>
        <w:pStyle w:val="NormalWeb"/>
        <w:shd w:val="clear" w:color="auto" w:fill="FFFFFF"/>
        <w:spacing w:before="0" w:beforeAutospacing="0" w:after="240" w:afterAutospacing="0"/>
        <w:rPr>
          <w:rFonts w:asciiTheme="minorHAnsi" w:hAnsiTheme="minorHAnsi" w:cstheme="minorHAnsi"/>
          <w:color w:val="222222"/>
        </w:rPr>
      </w:pPr>
      <w:r w:rsidRPr="000B162C">
        <w:rPr>
          <w:rFonts w:asciiTheme="minorHAnsi" w:hAnsiTheme="minorHAnsi" w:cstheme="minorHAnsi"/>
          <w:color w:val="222222"/>
        </w:rPr>
        <w:t>The measure of inflation that we are looking for here is the percentage change of the Consumer Price Index (CPI), which measures the rate of growth of the price of a bundle of goods and services, on the same quarter the previous year.  This can be negative (referred to as deflation), as well as positive.</w:t>
      </w:r>
    </w:p>
    <w:p w:rsidR="000A482C" w:rsidRPr="000B162C" w:rsidRDefault="000A482C" w:rsidP="000A482C">
      <w:pPr>
        <w:pStyle w:val="NormalWeb"/>
        <w:shd w:val="clear" w:color="auto" w:fill="FFFFFF"/>
        <w:spacing w:before="0" w:beforeAutospacing="0" w:after="240" w:afterAutospacing="0"/>
        <w:jc w:val="center"/>
        <w:rPr>
          <w:rFonts w:asciiTheme="minorHAnsi" w:hAnsiTheme="minorHAnsi" w:cstheme="minorHAnsi"/>
          <w:color w:val="222222"/>
        </w:rPr>
      </w:pPr>
      <w:r w:rsidRPr="000B162C">
        <w:rPr>
          <w:rStyle w:val="Strong"/>
          <w:rFonts w:asciiTheme="minorHAnsi" w:hAnsiTheme="minorHAnsi" w:cstheme="minorHAnsi"/>
          <w:color w:val="222222"/>
        </w:rPr>
        <w:t>Unemployment Rate</w:t>
      </w:r>
    </w:p>
    <w:p w:rsidR="000A482C" w:rsidRPr="000B162C" w:rsidRDefault="000A482C" w:rsidP="000A482C">
      <w:pPr>
        <w:pStyle w:val="NormalWeb"/>
        <w:shd w:val="clear" w:color="auto" w:fill="FFFFFF"/>
        <w:spacing w:before="0" w:beforeAutospacing="0" w:after="240" w:afterAutospacing="0"/>
        <w:rPr>
          <w:rFonts w:asciiTheme="minorHAnsi" w:hAnsiTheme="minorHAnsi" w:cstheme="minorHAnsi"/>
          <w:color w:val="222222"/>
        </w:rPr>
      </w:pPr>
      <w:r w:rsidRPr="000B162C">
        <w:rPr>
          <w:rFonts w:asciiTheme="minorHAnsi" w:hAnsiTheme="minorHAnsi" w:cstheme="minorHAnsi"/>
          <w:color w:val="222222"/>
        </w:rPr>
        <w:t xml:space="preserve">The unemployment rate is the percentage of people over the age of 16 who want a job but do not currently have one.  It does not include people who are not currently looking for a job for any reason.  As it is a proportion of a population, it </w:t>
      </w:r>
      <w:proofErr w:type="spellStart"/>
      <w:r w:rsidRPr="000B162C">
        <w:rPr>
          <w:rFonts w:asciiTheme="minorHAnsi" w:hAnsiTheme="minorHAnsi" w:cstheme="minorHAnsi"/>
          <w:color w:val="222222"/>
        </w:rPr>
        <w:t>can not</w:t>
      </w:r>
      <w:proofErr w:type="spellEnd"/>
      <w:r w:rsidRPr="000B162C">
        <w:rPr>
          <w:rFonts w:asciiTheme="minorHAnsi" w:hAnsiTheme="minorHAnsi" w:cstheme="minorHAnsi"/>
          <w:color w:val="222222"/>
        </w:rPr>
        <w:t xml:space="preserve"> be negative, and has ranged between 5.3% and 8.4% over the past five years (it has been at the lower end of that scale recently).  </w:t>
      </w:r>
    </w:p>
    <w:p w:rsidR="000A482C" w:rsidRPr="000B162C" w:rsidRDefault="000A482C" w:rsidP="000A482C">
      <w:pPr>
        <w:pStyle w:val="NormalWeb"/>
        <w:shd w:val="clear" w:color="auto" w:fill="FFFFFF"/>
        <w:spacing w:before="0" w:beforeAutospacing="0" w:after="240" w:afterAutospacing="0"/>
        <w:jc w:val="center"/>
        <w:rPr>
          <w:rFonts w:asciiTheme="minorHAnsi" w:hAnsiTheme="minorHAnsi" w:cstheme="minorHAnsi"/>
          <w:color w:val="222222"/>
        </w:rPr>
      </w:pPr>
      <w:r w:rsidRPr="000B162C">
        <w:rPr>
          <w:rStyle w:val="Strong"/>
          <w:rFonts w:asciiTheme="minorHAnsi" w:hAnsiTheme="minorHAnsi" w:cstheme="minorHAnsi"/>
          <w:color w:val="222222"/>
        </w:rPr>
        <w:t>Interest Rate</w:t>
      </w:r>
    </w:p>
    <w:p w:rsidR="000A482C" w:rsidRPr="000B162C" w:rsidRDefault="000A482C" w:rsidP="000A482C">
      <w:pPr>
        <w:pStyle w:val="NormalWeb"/>
        <w:shd w:val="clear" w:color="auto" w:fill="FFFFFF"/>
        <w:spacing w:before="0" w:beforeAutospacing="0" w:after="240" w:afterAutospacing="0"/>
        <w:rPr>
          <w:rFonts w:asciiTheme="minorHAnsi" w:hAnsiTheme="minorHAnsi" w:cstheme="minorHAnsi"/>
          <w:color w:val="222222"/>
        </w:rPr>
      </w:pPr>
      <w:r w:rsidRPr="000B162C">
        <w:rPr>
          <w:rFonts w:asciiTheme="minorHAnsi" w:hAnsiTheme="minorHAnsi" w:cstheme="minorHAnsi"/>
          <w:color w:val="222222"/>
        </w:rPr>
        <w:t>The Bank of England sets the official Bank Rate (the rate of interest at which banks can borrow from the central bank) every month, and this in turn should affect commercial interest rates.  Generally the bank likes to alter the interest rate by +/- 0.5 percentage points each time, although for the purposes of this competition, we take a three month average, so it needn't be a multiple of 0.5.  The Bank Rate has been kept at 0.5% since the beginning of 2009.  Interest rates are used as a tool to control inflation, and the Bank of England have been set a specific target of keeping the CPI rate at 2%.  In theory, if inflation rises above 2%, the interest rate should be increased to push it down, and if it falls below, the interest rate should fall. </w:t>
      </w:r>
    </w:p>
    <w:p w:rsidR="000A482C" w:rsidRPr="000B162C" w:rsidRDefault="000A482C" w:rsidP="000A482C">
      <w:pPr>
        <w:pStyle w:val="NormalWeb"/>
        <w:shd w:val="clear" w:color="auto" w:fill="FFFFFF"/>
        <w:spacing w:before="0" w:beforeAutospacing="0" w:after="240" w:afterAutospacing="0"/>
        <w:jc w:val="center"/>
        <w:rPr>
          <w:rFonts w:asciiTheme="minorHAnsi" w:hAnsiTheme="minorHAnsi" w:cstheme="minorHAnsi"/>
          <w:color w:val="222222"/>
        </w:rPr>
      </w:pPr>
      <w:r w:rsidRPr="000B162C">
        <w:rPr>
          <w:rFonts w:asciiTheme="minorHAnsi" w:hAnsiTheme="minorHAnsi" w:cstheme="minorHAnsi"/>
          <w:color w:val="222222"/>
        </w:rPr>
        <w:t> </w:t>
      </w:r>
      <w:r w:rsidRPr="000B162C">
        <w:rPr>
          <w:rStyle w:val="Strong"/>
          <w:rFonts w:asciiTheme="minorHAnsi" w:hAnsiTheme="minorHAnsi" w:cstheme="minorHAnsi"/>
          <w:color w:val="222222"/>
        </w:rPr>
        <w:t>Average Earnings</w:t>
      </w:r>
    </w:p>
    <w:p w:rsidR="000A482C" w:rsidRPr="000B162C" w:rsidRDefault="000A482C" w:rsidP="000A482C">
      <w:pPr>
        <w:pStyle w:val="NormalWeb"/>
        <w:shd w:val="clear" w:color="auto" w:fill="FFFFFF"/>
        <w:spacing w:before="0" w:beforeAutospacing="0" w:after="240" w:afterAutospacing="0"/>
        <w:rPr>
          <w:rFonts w:asciiTheme="minorHAnsi" w:hAnsiTheme="minorHAnsi" w:cstheme="minorHAnsi"/>
          <w:color w:val="222222"/>
        </w:rPr>
      </w:pPr>
      <w:r w:rsidRPr="000B162C">
        <w:rPr>
          <w:rFonts w:asciiTheme="minorHAnsi" w:hAnsiTheme="minorHAnsi" w:cstheme="minorHAnsi"/>
          <w:color w:val="222222"/>
        </w:rPr>
        <w:t xml:space="preserve">The rate at which earnings grow, especially compared to general price inflation, plays a key role in how people feel about the economy.  With this measure, we are looking for the percentage growth of the 3 month average of weekly earnings on the same quarter in the previous year.  Although there is a lot of variation between earnings across different sectors, we are looking for the average for the whole economy, excluding bonus payments and arrears.  It would be very unusual, although possible, for this to be negative; it has generally </w:t>
      </w:r>
      <w:r w:rsidRPr="000B162C">
        <w:rPr>
          <w:rFonts w:asciiTheme="minorHAnsi" w:hAnsiTheme="minorHAnsi" w:cstheme="minorHAnsi"/>
          <w:color w:val="222222"/>
        </w:rPr>
        <w:lastRenderedPageBreak/>
        <w:t>ranged between 0.5% and 3% over the past few years, and has been picking up recently after a long period of low growth.  Before the financial crisis, growth rates of around 4% weren't uncommon.</w:t>
      </w:r>
    </w:p>
    <w:p w:rsidR="000A482C" w:rsidRPr="000B162C" w:rsidRDefault="000A482C" w:rsidP="000A482C">
      <w:pPr>
        <w:pStyle w:val="NormalWeb"/>
        <w:shd w:val="clear" w:color="auto" w:fill="FFFFFF"/>
        <w:spacing w:before="0" w:beforeAutospacing="0" w:after="240" w:afterAutospacing="0"/>
        <w:jc w:val="center"/>
        <w:rPr>
          <w:rFonts w:asciiTheme="minorHAnsi" w:hAnsiTheme="minorHAnsi" w:cstheme="minorHAnsi"/>
          <w:color w:val="222222"/>
        </w:rPr>
      </w:pPr>
      <w:r w:rsidRPr="000B162C">
        <w:rPr>
          <w:rStyle w:val="Strong"/>
          <w:rFonts w:asciiTheme="minorHAnsi" w:hAnsiTheme="minorHAnsi" w:cstheme="minorHAnsi"/>
          <w:color w:val="222222"/>
        </w:rPr>
        <w:t>Sterling / Euro Rate Low</w:t>
      </w:r>
    </w:p>
    <w:p w:rsidR="000A482C" w:rsidRPr="000B162C" w:rsidRDefault="000A482C" w:rsidP="000A482C">
      <w:pPr>
        <w:pStyle w:val="NormalWeb"/>
        <w:shd w:val="clear" w:color="auto" w:fill="FFFFFF"/>
        <w:spacing w:before="0" w:beforeAutospacing="0" w:after="240" w:afterAutospacing="0"/>
        <w:rPr>
          <w:rFonts w:asciiTheme="minorHAnsi" w:hAnsiTheme="minorHAnsi" w:cstheme="minorHAnsi"/>
          <w:color w:val="222222"/>
        </w:rPr>
      </w:pPr>
      <w:r w:rsidRPr="000B162C">
        <w:rPr>
          <w:rFonts w:asciiTheme="minorHAnsi" w:hAnsiTheme="minorHAnsi" w:cstheme="minorHAnsi"/>
          <w:color w:val="222222"/>
        </w:rPr>
        <w:t>The tie-breaker this year is the </w:t>
      </w:r>
      <w:r w:rsidRPr="000B162C">
        <w:rPr>
          <w:rStyle w:val="Strong"/>
          <w:rFonts w:asciiTheme="minorHAnsi" w:hAnsiTheme="minorHAnsi" w:cstheme="minorHAnsi"/>
          <w:color w:val="222222"/>
        </w:rPr>
        <w:t>lowest</w:t>
      </w:r>
      <w:r w:rsidRPr="000B162C">
        <w:rPr>
          <w:rFonts w:asciiTheme="minorHAnsi" w:hAnsiTheme="minorHAnsi" w:cstheme="minorHAnsi"/>
          <w:color w:val="222222"/>
        </w:rPr>
        <w:t> point that sterling will fall against the Euro. We will be using the official closing price each day.</w:t>
      </w:r>
    </w:p>
    <w:p w:rsidR="000A482C" w:rsidRPr="000B162C" w:rsidRDefault="000A482C" w:rsidP="000A482C">
      <w:pPr>
        <w:pStyle w:val="NormalWeb"/>
        <w:shd w:val="clear" w:color="auto" w:fill="FFFFFF"/>
        <w:spacing w:before="0" w:beforeAutospacing="0" w:after="240" w:afterAutospacing="0"/>
        <w:rPr>
          <w:rFonts w:asciiTheme="minorHAnsi" w:hAnsiTheme="minorHAnsi" w:cstheme="minorHAnsi"/>
          <w:color w:val="222222"/>
        </w:rPr>
      </w:pPr>
      <w:r w:rsidRPr="000B162C">
        <w:rPr>
          <w:rFonts w:asciiTheme="minorHAnsi" w:hAnsiTheme="minorHAnsi" w:cstheme="minorHAnsi"/>
          <w:color w:val="222222"/>
        </w:rPr>
        <w:t>This is a very difficult thing to predict accurately, which is why we've chosen it as the deciding factor in case of ties. </w:t>
      </w:r>
    </w:p>
    <w:p w:rsidR="000A482C" w:rsidRPr="000B162C" w:rsidRDefault="000A482C">
      <w:pPr>
        <w:rPr>
          <w:rFonts w:cstheme="minorHAnsi"/>
          <w:sz w:val="24"/>
          <w:szCs w:val="24"/>
        </w:rPr>
      </w:pPr>
    </w:p>
    <w:sectPr w:rsidR="000A482C" w:rsidRPr="000B1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75E89"/>
    <w:multiLevelType w:val="hybridMultilevel"/>
    <w:tmpl w:val="D048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2B0D3E"/>
    <w:multiLevelType w:val="hybridMultilevel"/>
    <w:tmpl w:val="76C02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2E79B3"/>
    <w:multiLevelType w:val="hybridMultilevel"/>
    <w:tmpl w:val="36A254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15"/>
    <w:rsid w:val="000A482C"/>
    <w:rsid w:val="000B162C"/>
    <w:rsid w:val="000D421F"/>
    <w:rsid w:val="001900B7"/>
    <w:rsid w:val="001D17D8"/>
    <w:rsid w:val="004B6B15"/>
    <w:rsid w:val="008014BE"/>
    <w:rsid w:val="008F2366"/>
    <w:rsid w:val="00DB5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423DF-753A-48F6-B514-A8C3B5F2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21F"/>
    <w:rPr>
      <w:color w:val="0563C1"/>
      <w:u w:val="single"/>
    </w:rPr>
  </w:style>
  <w:style w:type="paragraph" w:styleId="ListParagraph">
    <w:name w:val="List Paragraph"/>
    <w:basedOn w:val="Normal"/>
    <w:uiPriority w:val="34"/>
    <w:qFormat/>
    <w:rsid w:val="000D421F"/>
    <w:pPr>
      <w:ind w:left="720"/>
      <w:contextualSpacing/>
    </w:pPr>
  </w:style>
  <w:style w:type="character" w:styleId="UnresolvedMention">
    <w:name w:val="Unresolved Mention"/>
    <w:basedOn w:val="DefaultParagraphFont"/>
    <w:uiPriority w:val="99"/>
    <w:semiHidden/>
    <w:unhideWhenUsed/>
    <w:rsid w:val="008F2366"/>
    <w:rPr>
      <w:color w:val="808080"/>
      <w:shd w:val="clear" w:color="auto" w:fill="E6E6E6"/>
    </w:rPr>
  </w:style>
  <w:style w:type="paragraph" w:styleId="NormalWeb">
    <w:name w:val="Normal (Web)"/>
    <w:basedOn w:val="Normal"/>
    <w:uiPriority w:val="99"/>
    <w:semiHidden/>
    <w:unhideWhenUsed/>
    <w:rsid w:val="000A48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4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787679">
      <w:bodyDiv w:val="1"/>
      <w:marLeft w:val="0"/>
      <w:marRight w:val="0"/>
      <w:marTop w:val="0"/>
      <w:marBottom w:val="0"/>
      <w:divBdr>
        <w:top w:val="none" w:sz="0" w:space="0" w:color="auto"/>
        <w:left w:val="none" w:sz="0" w:space="0" w:color="auto"/>
        <w:bottom w:val="none" w:sz="0" w:space="0" w:color="auto"/>
        <w:right w:val="none" w:sz="0" w:space="0" w:color="auto"/>
      </w:divBdr>
    </w:div>
    <w:div w:id="1236473911">
      <w:bodyDiv w:val="1"/>
      <w:marLeft w:val="0"/>
      <w:marRight w:val="0"/>
      <w:marTop w:val="0"/>
      <w:marBottom w:val="0"/>
      <w:divBdr>
        <w:top w:val="none" w:sz="0" w:space="0" w:color="auto"/>
        <w:left w:val="none" w:sz="0" w:space="0" w:color="auto"/>
        <w:bottom w:val="none" w:sz="0" w:space="0" w:color="auto"/>
        <w:right w:val="none" w:sz="0" w:space="0" w:color="auto"/>
      </w:divBdr>
    </w:div>
    <w:div w:id="13175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F4j1h7302PDcgwhv3IZZF400HqZtfTpu8B3xKQ2noOj74NA/viewform" TargetMode="External"/><Relationship Id="rId3" Type="http://schemas.openxmlformats.org/officeDocument/2006/relationships/settings" Target="settings.xml"/><Relationship Id="rId7" Type="http://schemas.openxmlformats.org/officeDocument/2006/relationships/hyperlink" Target="https://youtu.be/X3PSucdjJ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lCJXoQihgY" TargetMode="External"/><Relationship Id="rId5" Type="http://schemas.openxmlformats.org/officeDocument/2006/relationships/hyperlink" Target="https://youtu.be/PIlEuFJ_H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Allam</dc:creator>
  <cp:keywords/>
  <dc:description/>
  <cp:lastModifiedBy>Jon Clark</cp:lastModifiedBy>
  <cp:revision>2</cp:revision>
  <dcterms:created xsi:type="dcterms:W3CDTF">2018-01-09T16:21:00Z</dcterms:created>
  <dcterms:modified xsi:type="dcterms:W3CDTF">2018-01-09T16:21:00Z</dcterms:modified>
</cp:coreProperties>
</file>