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5FEA1" w14:textId="77777777" w:rsidR="00C6670B" w:rsidRPr="00DF3D28" w:rsidRDefault="00C6670B" w:rsidP="00C6670B">
      <w:pPr>
        <w:rPr>
          <w:b/>
          <w:sz w:val="32"/>
          <w:szCs w:val="32"/>
        </w:rPr>
      </w:pPr>
      <w:r w:rsidRPr="00DF3D28">
        <w:rPr>
          <w:b/>
          <w:sz w:val="32"/>
          <w:szCs w:val="32"/>
        </w:rPr>
        <w:t>A LEVEL GOVERNMENT &amp; POLITICS</w:t>
      </w:r>
    </w:p>
    <w:p w14:paraId="19C66412" w14:textId="77777777" w:rsidR="00C6670B" w:rsidRPr="00DF3D28" w:rsidRDefault="00C6670B" w:rsidP="00C6670B">
      <w:pPr>
        <w:rPr>
          <w:b/>
          <w:sz w:val="32"/>
          <w:szCs w:val="32"/>
        </w:rPr>
      </w:pPr>
      <w:r w:rsidRPr="00DF3D28">
        <w:rPr>
          <w:b/>
          <w:sz w:val="32"/>
          <w:szCs w:val="32"/>
        </w:rPr>
        <w:t xml:space="preserve">NEW LINEAR </w:t>
      </w:r>
      <w:r>
        <w:rPr>
          <w:b/>
          <w:sz w:val="32"/>
          <w:szCs w:val="32"/>
        </w:rPr>
        <w:t xml:space="preserve">AS &amp; </w:t>
      </w:r>
      <w:r w:rsidRPr="00DF3D28">
        <w:rPr>
          <w:b/>
          <w:sz w:val="32"/>
          <w:szCs w:val="32"/>
        </w:rPr>
        <w:t>A LEVEL SPECIFICATIONS</w:t>
      </w:r>
    </w:p>
    <w:p w14:paraId="6AF9CA7F" w14:textId="77777777" w:rsidR="00C6670B" w:rsidRPr="00DF3D28" w:rsidRDefault="00C6670B" w:rsidP="00C6670B">
      <w:pPr>
        <w:rPr>
          <w:b/>
          <w:sz w:val="32"/>
          <w:szCs w:val="32"/>
        </w:rPr>
      </w:pPr>
      <w:r w:rsidRPr="00DF3D28">
        <w:rPr>
          <w:b/>
          <w:sz w:val="32"/>
          <w:szCs w:val="32"/>
        </w:rPr>
        <w:t>(for first teaching September 2017)</w:t>
      </w:r>
    </w:p>
    <w:p w14:paraId="0BDA60AD" w14:textId="77777777" w:rsidR="00C6670B" w:rsidRDefault="00C6670B">
      <w:pPr>
        <w:rPr>
          <w:b/>
          <w:sz w:val="36"/>
          <w:szCs w:val="36"/>
        </w:rPr>
      </w:pPr>
    </w:p>
    <w:p w14:paraId="53BB8E1C" w14:textId="77777777" w:rsidR="001C23F3" w:rsidRDefault="001C23F3" w:rsidP="00C6670B">
      <w:pPr>
        <w:rPr>
          <w:b/>
          <w:sz w:val="60"/>
          <w:szCs w:val="60"/>
        </w:rPr>
      </w:pPr>
      <w:r>
        <w:rPr>
          <w:b/>
          <w:sz w:val="60"/>
          <w:szCs w:val="60"/>
        </w:rPr>
        <w:t>tutor2u Politics</w:t>
      </w:r>
      <w:bookmarkStart w:id="0" w:name="_GoBack"/>
      <w:bookmarkEnd w:id="0"/>
    </w:p>
    <w:p w14:paraId="5D47AA07" w14:textId="77777777" w:rsidR="00C6670B" w:rsidRPr="00160F3E" w:rsidRDefault="00C6670B" w:rsidP="00C6670B">
      <w:pPr>
        <w:rPr>
          <w:b/>
          <w:sz w:val="60"/>
          <w:szCs w:val="60"/>
        </w:rPr>
      </w:pPr>
      <w:r w:rsidRPr="00160F3E">
        <w:rPr>
          <w:b/>
          <w:sz w:val="60"/>
          <w:szCs w:val="60"/>
        </w:rPr>
        <w:t>Overview and Comparison</w:t>
      </w:r>
    </w:p>
    <w:p w14:paraId="2152B0ED" w14:textId="77777777" w:rsidR="00C6670B" w:rsidRPr="00160F3E" w:rsidRDefault="00C6670B" w:rsidP="00C6670B">
      <w:pPr>
        <w:rPr>
          <w:b/>
          <w:sz w:val="60"/>
          <w:szCs w:val="60"/>
        </w:rPr>
      </w:pPr>
    </w:p>
    <w:p w14:paraId="7C5A3A87" w14:textId="77777777" w:rsidR="00C6670B" w:rsidRPr="00160F3E" w:rsidRDefault="00C6670B" w:rsidP="00C6670B">
      <w:pPr>
        <w:rPr>
          <w:b/>
          <w:sz w:val="36"/>
          <w:szCs w:val="36"/>
        </w:rPr>
      </w:pPr>
      <w:r>
        <w:rPr>
          <w:b/>
          <w:sz w:val="36"/>
          <w:szCs w:val="36"/>
        </w:rPr>
        <w:t>Version 1.0 (non-accredited specifications)</w:t>
      </w:r>
    </w:p>
    <w:p w14:paraId="2C84435B" w14:textId="77777777" w:rsidR="00C6670B" w:rsidRDefault="00C6670B">
      <w:pPr>
        <w:rPr>
          <w:b/>
          <w:sz w:val="36"/>
          <w:szCs w:val="36"/>
        </w:rPr>
      </w:pPr>
      <w:r w:rsidRPr="00160F3E">
        <w:rPr>
          <w:b/>
          <w:sz w:val="36"/>
          <w:szCs w:val="36"/>
        </w:rPr>
        <w:t>September 2016</w:t>
      </w:r>
    </w:p>
    <w:p w14:paraId="6918CCB4" w14:textId="77777777" w:rsidR="00C6670B" w:rsidRPr="00E836CC" w:rsidRDefault="00C6670B" w:rsidP="00C6670B">
      <w:pPr>
        <w:rPr>
          <w:b/>
          <w:sz w:val="32"/>
          <w:szCs w:val="32"/>
        </w:rPr>
      </w:pPr>
    </w:p>
    <w:p w14:paraId="7771FCA4" w14:textId="77777777" w:rsidR="00C6670B" w:rsidRPr="00E836CC" w:rsidRDefault="00C6670B" w:rsidP="00C6670B">
      <w:pPr>
        <w:pBdr>
          <w:top w:val="single" w:sz="4" w:space="1" w:color="auto"/>
          <w:left w:val="single" w:sz="4" w:space="4" w:color="auto"/>
          <w:bottom w:val="single" w:sz="4" w:space="1" w:color="auto"/>
          <w:right w:val="single" w:sz="4" w:space="4" w:color="auto"/>
        </w:pBdr>
        <w:rPr>
          <w:b/>
          <w:i/>
          <w:sz w:val="32"/>
          <w:szCs w:val="32"/>
        </w:rPr>
      </w:pPr>
      <w:r w:rsidRPr="00E836CC">
        <w:rPr>
          <w:b/>
          <w:i/>
          <w:sz w:val="32"/>
          <w:szCs w:val="32"/>
        </w:rPr>
        <w:t xml:space="preserve">For further discussion with Politics teaching colleagues, </w:t>
      </w:r>
      <w:hyperlink r:id="rId8" w:history="1">
        <w:r w:rsidRPr="00E836CC">
          <w:rPr>
            <w:rStyle w:val="Hyperlink"/>
            <w:b/>
            <w:i/>
            <w:sz w:val="32"/>
            <w:szCs w:val="32"/>
          </w:rPr>
          <w:t>join the discussion on the A Level Politics Teacher Group on Facebook</w:t>
        </w:r>
      </w:hyperlink>
    </w:p>
    <w:p w14:paraId="6AF604F4" w14:textId="77777777" w:rsidR="00C6670B" w:rsidRDefault="00C6670B">
      <w:pPr>
        <w:rPr>
          <w:b/>
          <w:sz w:val="36"/>
          <w:szCs w:val="36"/>
        </w:rPr>
      </w:pPr>
    </w:p>
    <w:p w14:paraId="7B28FBB3" w14:textId="77777777" w:rsidR="00C6670B" w:rsidRDefault="00C6670B" w:rsidP="001C23F3">
      <w:pPr>
        <w:pBdr>
          <w:top w:val="single" w:sz="4" w:space="1" w:color="auto"/>
          <w:left w:val="single" w:sz="4" w:space="4" w:color="auto"/>
          <w:bottom w:val="single" w:sz="4" w:space="1" w:color="auto"/>
          <w:right w:val="single" w:sz="4" w:space="4" w:color="auto"/>
        </w:pBdr>
        <w:rPr>
          <w:b/>
          <w:sz w:val="36"/>
          <w:szCs w:val="36"/>
        </w:rPr>
      </w:pPr>
    </w:p>
    <w:p w14:paraId="6E4CF3FE" w14:textId="77777777" w:rsidR="00160F3E" w:rsidRDefault="00160F3E" w:rsidP="001C23F3">
      <w:pPr>
        <w:pBdr>
          <w:top w:val="single" w:sz="4" w:space="1" w:color="auto"/>
          <w:left w:val="single" w:sz="4" w:space="4" w:color="auto"/>
          <w:bottom w:val="single" w:sz="4" w:space="1" w:color="auto"/>
          <w:right w:val="single" w:sz="4" w:space="4" w:color="auto"/>
        </w:pBdr>
        <w:rPr>
          <w:b/>
          <w:sz w:val="28"/>
          <w:szCs w:val="28"/>
        </w:rPr>
      </w:pPr>
      <w:r>
        <w:rPr>
          <w:b/>
          <w:sz w:val="28"/>
          <w:szCs w:val="28"/>
        </w:rPr>
        <w:t>Contents</w:t>
      </w:r>
    </w:p>
    <w:sdt>
      <w:sdtPr>
        <w:id w:val="88894664"/>
        <w:docPartObj>
          <w:docPartGallery w:val="Table of Contents"/>
          <w:docPartUnique/>
        </w:docPartObj>
      </w:sdtPr>
      <w:sdtEndPr>
        <w:rPr>
          <w:rFonts w:asciiTheme="minorHAnsi" w:eastAsiaTheme="minorHAnsi" w:hAnsiTheme="minorHAnsi" w:cstheme="minorBidi"/>
          <w:noProof/>
          <w:color w:val="auto"/>
          <w:sz w:val="22"/>
          <w:szCs w:val="22"/>
          <w:lang w:val="en-GB"/>
        </w:rPr>
      </w:sdtEndPr>
      <w:sdtContent>
        <w:p w14:paraId="19393BC1" w14:textId="77777777" w:rsidR="001C23F3" w:rsidRDefault="001C23F3" w:rsidP="001C23F3">
          <w:pPr>
            <w:pStyle w:val="TOCHeading"/>
            <w:pBdr>
              <w:top w:val="single" w:sz="4" w:space="1" w:color="auto"/>
              <w:left w:val="single" w:sz="4" w:space="4" w:color="auto"/>
              <w:bottom w:val="single" w:sz="4" w:space="1" w:color="auto"/>
              <w:right w:val="single" w:sz="4" w:space="4" w:color="auto"/>
            </w:pBdr>
          </w:pPr>
          <w:r>
            <w:t>Table of Contents</w:t>
          </w:r>
        </w:p>
        <w:p w14:paraId="43B624EB" w14:textId="77777777" w:rsidR="001C23F3" w:rsidRDefault="001C23F3" w:rsidP="001C23F3">
          <w:pPr>
            <w:pStyle w:val="TOC1"/>
            <w:pBdr>
              <w:top w:val="single" w:sz="4" w:space="1" w:color="auto"/>
              <w:left w:val="single" w:sz="4" w:space="4" w:color="auto"/>
              <w:bottom w:val="single" w:sz="4" w:space="1" w:color="auto"/>
              <w:right w:val="single" w:sz="4" w:space="4" w:color="auto"/>
            </w:pBdr>
            <w:tabs>
              <w:tab w:val="right" w:leader="dot" w:pos="9175"/>
            </w:tabs>
            <w:rPr>
              <w:noProof/>
            </w:rPr>
          </w:pPr>
          <w:r>
            <w:rPr>
              <w:b w:val="0"/>
              <w:bCs w:val="0"/>
            </w:rPr>
            <w:fldChar w:fldCharType="begin"/>
          </w:r>
          <w:r>
            <w:instrText xml:space="preserve"> TOC \o "1-3" \h \z \u </w:instrText>
          </w:r>
          <w:r>
            <w:rPr>
              <w:b w:val="0"/>
              <w:bCs w:val="0"/>
            </w:rPr>
            <w:fldChar w:fldCharType="separate"/>
          </w:r>
          <w:hyperlink w:anchor="_Toc462324603" w:history="1">
            <w:r w:rsidRPr="00092285">
              <w:rPr>
                <w:rStyle w:val="Hyperlink"/>
                <w:noProof/>
              </w:rPr>
              <w:t>Background to specification changes</w:t>
            </w:r>
            <w:r>
              <w:rPr>
                <w:noProof/>
                <w:webHidden/>
              </w:rPr>
              <w:tab/>
            </w:r>
            <w:r>
              <w:rPr>
                <w:noProof/>
                <w:webHidden/>
              </w:rPr>
              <w:fldChar w:fldCharType="begin"/>
            </w:r>
            <w:r>
              <w:rPr>
                <w:noProof/>
                <w:webHidden/>
              </w:rPr>
              <w:instrText xml:space="preserve"> PAGEREF _Toc462324603 \h </w:instrText>
            </w:r>
            <w:r>
              <w:rPr>
                <w:noProof/>
                <w:webHidden/>
              </w:rPr>
            </w:r>
            <w:r>
              <w:rPr>
                <w:noProof/>
                <w:webHidden/>
              </w:rPr>
              <w:fldChar w:fldCharType="separate"/>
            </w:r>
            <w:r>
              <w:rPr>
                <w:noProof/>
                <w:webHidden/>
              </w:rPr>
              <w:t>2</w:t>
            </w:r>
            <w:r>
              <w:rPr>
                <w:noProof/>
                <w:webHidden/>
              </w:rPr>
              <w:fldChar w:fldCharType="end"/>
            </w:r>
          </w:hyperlink>
        </w:p>
        <w:p w14:paraId="3DB321FD" w14:textId="77777777" w:rsidR="001C23F3" w:rsidRDefault="001C23F3" w:rsidP="001C23F3">
          <w:pPr>
            <w:pStyle w:val="TOC1"/>
            <w:pBdr>
              <w:top w:val="single" w:sz="4" w:space="1" w:color="auto"/>
              <w:left w:val="single" w:sz="4" w:space="4" w:color="auto"/>
              <w:bottom w:val="single" w:sz="4" w:space="1" w:color="auto"/>
              <w:right w:val="single" w:sz="4" w:space="4" w:color="auto"/>
            </w:pBdr>
            <w:tabs>
              <w:tab w:val="right" w:leader="dot" w:pos="9175"/>
            </w:tabs>
            <w:rPr>
              <w:noProof/>
            </w:rPr>
          </w:pPr>
          <w:hyperlink w:anchor="_Toc462324604" w:history="1">
            <w:r w:rsidRPr="00092285">
              <w:rPr>
                <w:rStyle w:val="Hyperlink"/>
                <w:noProof/>
              </w:rPr>
              <w:t>Mandated content</w:t>
            </w:r>
            <w:r>
              <w:rPr>
                <w:noProof/>
                <w:webHidden/>
              </w:rPr>
              <w:tab/>
            </w:r>
            <w:r>
              <w:rPr>
                <w:noProof/>
                <w:webHidden/>
              </w:rPr>
              <w:fldChar w:fldCharType="begin"/>
            </w:r>
            <w:r>
              <w:rPr>
                <w:noProof/>
                <w:webHidden/>
              </w:rPr>
              <w:instrText xml:space="preserve"> PAGEREF _Toc462324604 \h </w:instrText>
            </w:r>
            <w:r>
              <w:rPr>
                <w:noProof/>
                <w:webHidden/>
              </w:rPr>
            </w:r>
            <w:r>
              <w:rPr>
                <w:noProof/>
                <w:webHidden/>
              </w:rPr>
              <w:fldChar w:fldCharType="separate"/>
            </w:r>
            <w:r>
              <w:rPr>
                <w:noProof/>
                <w:webHidden/>
              </w:rPr>
              <w:t>3</w:t>
            </w:r>
            <w:r>
              <w:rPr>
                <w:noProof/>
                <w:webHidden/>
              </w:rPr>
              <w:fldChar w:fldCharType="end"/>
            </w:r>
          </w:hyperlink>
        </w:p>
        <w:p w14:paraId="1C2BBFDA" w14:textId="77777777" w:rsidR="001C23F3" w:rsidRDefault="001C23F3" w:rsidP="001C23F3">
          <w:pPr>
            <w:pStyle w:val="TOC1"/>
            <w:pBdr>
              <w:top w:val="single" w:sz="4" w:space="1" w:color="auto"/>
              <w:left w:val="single" w:sz="4" w:space="4" w:color="auto"/>
              <w:bottom w:val="single" w:sz="4" w:space="1" w:color="auto"/>
              <w:right w:val="single" w:sz="4" w:space="4" w:color="auto"/>
            </w:pBdr>
            <w:tabs>
              <w:tab w:val="right" w:leader="dot" w:pos="9175"/>
            </w:tabs>
            <w:rPr>
              <w:noProof/>
            </w:rPr>
          </w:pPr>
          <w:hyperlink w:anchor="_Toc462324605" w:history="1">
            <w:r w:rsidRPr="00092285">
              <w:rPr>
                <w:rStyle w:val="Hyperlink"/>
                <w:noProof/>
              </w:rPr>
              <w:t>Type of assessment</w:t>
            </w:r>
            <w:r>
              <w:rPr>
                <w:noProof/>
                <w:webHidden/>
              </w:rPr>
              <w:tab/>
            </w:r>
            <w:r>
              <w:rPr>
                <w:noProof/>
                <w:webHidden/>
              </w:rPr>
              <w:fldChar w:fldCharType="begin"/>
            </w:r>
            <w:r>
              <w:rPr>
                <w:noProof/>
                <w:webHidden/>
              </w:rPr>
              <w:instrText xml:space="preserve"> PAGEREF _Toc462324605 \h </w:instrText>
            </w:r>
            <w:r>
              <w:rPr>
                <w:noProof/>
                <w:webHidden/>
              </w:rPr>
            </w:r>
            <w:r>
              <w:rPr>
                <w:noProof/>
                <w:webHidden/>
              </w:rPr>
              <w:fldChar w:fldCharType="separate"/>
            </w:r>
            <w:r>
              <w:rPr>
                <w:noProof/>
                <w:webHidden/>
              </w:rPr>
              <w:t>8</w:t>
            </w:r>
            <w:r>
              <w:rPr>
                <w:noProof/>
                <w:webHidden/>
              </w:rPr>
              <w:fldChar w:fldCharType="end"/>
            </w:r>
          </w:hyperlink>
        </w:p>
        <w:p w14:paraId="556BD8F9" w14:textId="77777777" w:rsidR="001C23F3" w:rsidRDefault="001C23F3" w:rsidP="001C23F3">
          <w:pPr>
            <w:pStyle w:val="TOC1"/>
            <w:pBdr>
              <w:top w:val="single" w:sz="4" w:space="1" w:color="auto"/>
              <w:left w:val="single" w:sz="4" w:space="4" w:color="auto"/>
              <w:bottom w:val="single" w:sz="4" w:space="1" w:color="auto"/>
              <w:right w:val="single" w:sz="4" w:space="4" w:color="auto"/>
            </w:pBdr>
            <w:tabs>
              <w:tab w:val="right" w:leader="dot" w:pos="9175"/>
            </w:tabs>
            <w:rPr>
              <w:noProof/>
            </w:rPr>
          </w:pPr>
          <w:hyperlink w:anchor="_Toc462324606" w:history="1">
            <w:r w:rsidRPr="00092285">
              <w:rPr>
                <w:rStyle w:val="Hyperlink"/>
                <w:noProof/>
              </w:rPr>
              <w:t>Our Verdict</w:t>
            </w:r>
            <w:r>
              <w:rPr>
                <w:noProof/>
                <w:webHidden/>
              </w:rPr>
              <w:tab/>
            </w:r>
            <w:r>
              <w:rPr>
                <w:noProof/>
                <w:webHidden/>
              </w:rPr>
              <w:fldChar w:fldCharType="begin"/>
            </w:r>
            <w:r>
              <w:rPr>
                <w:noProof/>
                <w:webHidden/>
              </w:rPr>
              <w:instrText xml:space="preserve"> PAGEREF _Toc462324606 \h </w:instrText>
            </w:r>
            <w:r>
              <w:rPr>
                <w:noProof/>
                <w:webHidden/>
              </w:rPr>
            </w:r>
            <w:r>
              <w:rPr>
                <w:noProof/>
                <w:webHidden/>
              </w:rPr>
              <w:fldChar w:fldCharType="separate"/>
            </w:r>
            <w:r>
              <w:rPr>
                <w:noProof/>
                <w:webHidden/>
              </w:rPr>
              <w:t>10</w:t>
            </w:r>
            <w:r>
              <w:rPr>
                <w:noProof/>
                <w:webHidden/>
              </w:rPr>
              <w:fldChar w:fldCharType="end"/>
            </w:r>
          </w:hyperlink>
        </w:p>
        <w:p w14:paraId="256FACF0" w14:textId="77777777" w:rsidR="001C23F3" w:rsidRDefault="001C23F3" w:rsidP="001C23F3">
          <w:pPr>
            <w:pBdr>
              <w:top w:val="single" w:sz="4" w:space="1" w:color="auto"/>
              <w:left w:val="single" w:sz="4" w:space="4" w:color="auto"/>
              <w:bottom w:val="single" w:sz="4" w:space="1" w:color="auto"/>
              <w:right w:val="single" w:sz="4" w:space="4" w:color="auto"/>
            </w:pBdr>
          </w:pPr>
          <w:r>
            <w:rPr>
              <w:b/>
              <w:bCs/>
              <w:noProof/>
            </w:rPr>
            <w:fldChar w:fldCharType="end"/>
          </w:r>
        </w:p>
      </w:sdtContent>
    </w:sdt>
    <w:p w14:paraId="484A3CEB" w14:textId="77777777" w:rsidR="00160F3E" w:rsidRDefault="00160F3E" w:rsidP="00160F3E">
      <w:pPr>
        <w:rPr>
          <w:sz w:val="24"/>
          <w:szCs w:val="24"/>
        </w:rPr>
      </w:pPr>
    </w:p>
    <w:p w14:paraId="630FD305" w14:textId="77777777" w:rsidR="00160F3E" w:rsidRDefault="00160F3E">
      <w:pPr>
        <w:rPr>
          <w:sz w:val="24"/>
          <w:szCs w:val="24"/>
        </w:rPr>
      </w:pPr>
      <w:r>
        <w:rPr>
          <w:sz w:val="24"/>
          <w:szCs w:val="24"/>
        </w:rPr>
        <w:br w:type="page"/>
      </w:r>
    </w:p>
    <w:p w14:paraId="711F43E0" w14:textId="77777777" w:rsidR="00AB4DA6" w:rsidRPr="00692AC7" w:rsidRDefault="00AB4DA6" w:rsidP="00C6670B">
      <w:pPr>
        <w:pStyle w:val="Heading1"/>
      </w:pPr>
      <w:bookmarkStart w:id="1" w:name="_Toc462324603"/>
      <w:r w:rsidRPr="00692AC7">
        <w:lastRenderedPageBreak/>
        <w:t>Background to specification changes</w:t>
      </w:r>
      <w:bookmarkEnd w:id="1"/>
    </w:p>
    <w:p w14:paraId="577BD924" w14:textId="77777777" w:rsidR="00692AC7" w:rsidRPr="00692AC7" w:rsidRDefault="00692AC7" w:rsidP="00AB4DA6">
      <w:pPr>
        <w:rPr>
          <w:b/>
          <w:sz w:val="24"/>
          <w:szCs w:val="24"/>
        </w:rPr>
      </w:pPr>
      <w:r>
        <w:rPr>
          <w:b/>
          <w:sz w:val="24"/>
          <w:szCs w:val="24"/>
        </w:rPr>
        <w:t>Timings</w:t>
      </w:r>
    </w:p>
    <w:p w14:paraId="45462227" w14:textId="77777777" w:rsidR="00692AC7" w:rsidRDefault="00692AC7" w:rsidP="00AB4DA6">
      <w:pPr>
        <w:rPr>
          <w:sz w:val="24"/>
          <w:szCs w:val="24"/>
        </w:rPr>
      </w:pPr>
      <w:r>
        <w:rPr>
          <w:sz w:val="24"/>
          <w:szCs w:val="24"/>
        </w:rPr>
        <w:t xml:space="preserve">For a number of subjects, the new AS and A levels have been in full swing for over a year now with the first AS exams sat in May and June 2016. Other subjects have joined them for the 2016-17 academic year, with the new Politics specifications due to be taught from September 2017. The first AS exams will be sat in summer 2018 followed by the first full linear </w:t>
      </w:r>
      <w:proofErr w:type="gramStart"/>
      <w:r>
        <w:rPr>
          <w:sz w:val="24"/>
          <w:szCs w:val="24"/>
        </w:rPr>
        <w:t>A level exams</w:t>
      </w:r>
      <w:proofErr w:type="gramEnd"/>
      <w:r>
        <w:rPr>
          <w:sz w:val="24"/>
          <w:szCs w:val="24"/>
        </w:rPr>
        <w:t xml:space="preserve"> in summer 2019. </w:t>
      </w:r>
    </w:p>
    <w:p w14:paraId="2E991779" w14:textId="77777777" w:rsidR="00692AC7" w:rsidRPr="00692AC7" w:rsidRDefault="00692AC7" w:rsidP="00AB4DA6">
      <w:pPr>
        <w:rPr>
          <w:b/>
          <w:sz w:val="24"/>
          <w:szCs w:val="24"/>
        </w:rPr>
      </w:pPr>
      <w:r>
        <w:rPr>
          <w:b/>
          <w:sz w:val="24"/>
          <w:szCs w:val="24"/>
        </w:rPr>
        <w:t>Linearity</w:t>
      </w:r>
    </w:p>
    <w:p w14:paraId="4226469D" w14:textId="77777777" w:rsidR="00692AC7" w:rsidRDefault="00692AC7" w:rsidP="00AB4DA6">
      <w:pPr>
        <w:rPr>
          <w:sz w:val="24"/>
          <w:szCs w:val="24"/>
        </w:rPr>
      </w:pPr>
      <w:r>
        <w:rPr>
          <w:sz w:val="24"/>
          <w:szCs w:val="24"/>
        </w:rPr>
        <w:t xml:space="preserve">The most obvious change is the move back to “linearity”.  This means that the new AS levels are “decoupled” from the A level. So, students may still be entered for the AS exam, but their marks will not count towards their full A level in that subject.  Instead, the A level will be awarded based solely on the exams taken at the end of Year 13 after two years of study. This linearity is an enormous change, and in the experience of tutor2u with other subjects, the challenge is certainly not to be underestimated! </w:t>
      </w:r>
    </w:p>
    <w:p w14:paraId="516FBDB7" w14:textId="77777777" w:rsidR="00692AC7" w:rsidRPr="00692AC7" w:rsidRDefault="00692AC7" w:rsidP="00AB4DA6">
      <w:pPr>
        <w:rPr>
          <w:b/>
          <w:sz w:val="24"/>
          <w:szCs w:val="24"/>
        </w:rPr>
      </w:pPr>
      <w:r>
        <w:rPr>
          <w:b/>
          <w:sz w:val="24"/>
          <w:szCs w:val="24"/>
        </w:rPr>
        <w:t>Co-</w:t>
      </w:r>
      <w:proofErr w:type="spellStart"/>
      <w:r>
        <w:rPr>
          <w:b/>
          <w:sz w:val="24"/>
          <w:szCs w:val="24"/>
        </w:rPr>
        <w:t>teachability</w:t>
      </w:r>
      <w:proofErr w:type="spellEnd"/>
    </w:p>
    <w:p w14:paraId="46CDF6AA" w14:textId="77777777" w:rsidR="00692AC7" w:rsidRDefault="00692AC7" w:rsidP="00AB4DA6">
      <w:pPr>
        <w:rPr>
          <w:sz w:val="24"/>
          <w:szCs w:val="24"/>
        </w:rPr>
      </w:pPr>
      <w:r>
        <w:rPr>
          <w:sz w:val="24"/>
          <w:szCs w:val="24"/>
        </w:rPr>
        <w:t>All new A level specifications are, according to Ofqual and the awarding bodies, meant to be “co-teachable”. This means that students wanting to sit the AS examination at the end of Year 12 should be able to be taught alongside those students progressing to the full A level. Our reaction, having seen the proposed new specifications, is that this is likely to prove challenging for teachers as it will result in large amounts of content to be covered in the second year of teaching (year 13).</w:t>
      </w:r>
    </w:p>
    <w:p w14:paraId="667CA1C9" w14:textId="77777777" w:rsidR="00692AC7" w:rsidRPr="00692AC7" w:rsidRDefault="00692AC7" w:rsidP="00AB4DA6">
      <w:pPr>
        <w:rPr>
          <w:b/>
          <w:sz w:val="24"/>
          <w:szCs w:val="24"/>
        </w:rPr>
      </w:pPr>
      <w:r>
        <w:rPr>
          <w:b/>
          <w:sz w:val="24"/>
          <w:szCs w:val="24"/>
        </w:rPr>
        <w:t>Current state-of-play at the awarding bodies</w:t>
      </w:r>
    </w:p>
    <w:p w14:paraId="5657878A" w14:textId="77777777" w:rsidR="00692AC7" w:rsidRDefault="00692AC7" w:rsidP="00AB4DA6">
      <w:pPr>
        <w:rPr>
          <w:sz w:val="24"/>
          <w:szCs w:val="24"/>
        </w:rPr>
      </w:pPr>
      <w:r>
        <w:rPr>
          <w:sz w:val="24"/>
          <w:szCs w:val="24"/>
        </w:rPr>
        <w:t xml:space="preserve">Government and Politics was previously offered by all three major awarding bodies in England – OCR, AQA and Pearson Edexcel. However, OCR has made the decision </w:t>
      </w:r>
      <w:r>
        <w:rPr>
          <w:sz w:val="24"/>
          <w:szCs w:val="24"/>
          <w:u w:val="single"/>
        </w:rPr>
        <w:t>not</w:t>
      </w:r>
      <w:r>
        <w:rPr>
          <w:sz w:val="24"/>
          <w:szCs w:val="24"/>
        </w:rPr>
        <w:t xml:space="preserve"> to offer a new specification. Both AQA and Pearson Edexcel have published the final draft version of their specifications for both AS and A level, along with Specimen Assessment Material (SAMs). Please note that these are not yet accredited by Ofqual. We anticipate that there will be some changes, and will update this briefing when this occurs.</w:t>
      </w:r>
    </w:p>
    <w:p w14:paraId="76F7AC12" w14:textId="77777777" w:rsidR="00C6670B" w:rsidRDefault="00C6670B">
      <w:pPr>
        <w:rPr>
          <w:b/>
          <w:sz w:val="24"/>
          <w:szCs w:val="24"/>
        </w:rPr>
      </w:pPr>
      <w:r>
        <w:rPr>
          <w:b/>
          <w:sz w:val="24"/>
          <w:szCs w:val="24"/>
        </w:rPr>
        <w:br w:type="page"/>
      </w:r>
    </w:p>
    <w:p w14:paraId="169120CF" w14:textId="77777777" w:rsidR="00930820" w:rsidRDefault="009A3854" w:rsidP="00AB4DA6">
      <w:pPr>
        <w:rPr>
          <w:b/>
          <w:sz w:val="24"/>
          <w:szCs w:val="24"/>
        </w:rPr>
      </w:pPr>
      <w:r>
        <w:rPr>
          <w:b/>
          <w:sz w:val="24"/>
          <w:szCs w:val="24"/>
        </w:rPr>
        <w:lastRenderedPageBreak/>
        <w:t>Awarding body data</w:t>
      </w:r>
      <w:r w:rsidR="00B74305">
        <w:rPr>
          <w:b/>
          <w:sz w:val="24"/>
          <w:szCs w:val="24"/>
        </w:rPr>
        <w:t xml:space="preserve"> – examinations 2016</w:t>
      </w:r>
    </w:p>
    <w:tbl>
      <w:tblPr>
        <w:tblStyle w:val="TableGrid"/>
        <w:tblW w:w="5000" w:type="pct"/>
        <w:tblLook w:val="04A0" w:firstRow="1" w:lastRow="0" w:firstColumn="1" w:lastColumn="0" w:noHBand="0" w:noVBand="1"/>
      </w:tblPr>
      <w:tblGrid>
        <w:gridCol w:w="2372"/>
        <w:gridCol w:w="1208"/>
        <w:gridCol w:w="1256"/>
        <w:gridCol w:w="728"/>
        <w:gridCol w:w="728"/>
        <w:gridCol w:w="728"/>
        <w:gridCol w:w="728"/>
        <w:gridCol w:w="728"/>
        <w:gridCol w:w="699"/>
      </w:tblGrid>
      <w:tr w:rsidR="009A3854" w:rsidRPr="009728CE" w14:paraId="33F07643" w14:textId="77777777" w:rsidTr="009A3854">
        <w:trPr>
          <w:trHeight w:val="320"/>
        </w:trPr>
        <w:tc>
          <w:tcPr>
            <w:tcW w:w="5000" w:type="pct"/>
            <w:gridSpan w:val="9"/>
            <w:shd w:val="clear" w:color="auto" w:fill="FFE599" w:themeFill="accent4" w:themeFillTint="66"/>
            <w:noWrap/>
            <w:hideMark/>
          </w:tcPr>
          <w:p w14:paraId="58A458D3" w14:textId="77777777" w:rsidR="009A3854" w:rsidRPr="009A3854" w:rsidRDefault="009A3854" w:rsidP="00DF2669">
            <w:pPr>
              <w:jc w:val="center"/>
              <w:rPr>
                <w:rFonts w:ascii="Times New Roman" w:eastAsia="Times New Roman" w:hAnsi="Times New Roman" w:cs="Times New Roman"/>
                <w:b/>
                <w:sz w:val="20"/>
                <w:szCs w:val="20"/>
              </w:rPr>
            </w:pPr>
            <w:r w:rsidRPr="009A3854">
              <w:rPr>
                <w:rFonts w:ascii="Calibri" w:eastAsia="Times New Roman" w:hAnsi="Calibri" w:cs="Times New Roman"/>
                <w:b/>
                <w:color w:val="000000"/>
              </w:rPr>
              <w:t>AS POLITICS ENTRIES (Summer 2016)</w:t>
            </w:r>
          </w:p>
        </w:tc>
      </w:tr>
      <w:tr w:rsidR="00B74305" w:rsidRPr="009728CE" w14:paraId="585972AD" w14:textId="77777777" w:rsidTr="009A3854">
        <w:trPr>
          <w:gridAfter w:val="1"/>
          <w:wAfter w:w="381" w:type="pct"/>
          <w:trHeight w:val="320"/>
        </w:trPr>
        <w:tc>
          <w:tcPr>
            <w:tcW w:w="1292" w:type="pct"/>
            <w:noWrap/>
            <w:hideMark/>
          </w:tcPr>
          <w:p w14:paraId="2AF5B97D" w14:textId="77777777" w:rsidR="00B74305" w:rsidRPr="009A3854" w:rsidRDefault="00B74305" w:rsidP="00DF2669">
            <w:pPr>
              <w:rPr>
                <w:rFonts w:ascii="Calibri" w:eastAsia="Times New Roman" w:hAnsi="Calibri" w:cs="Times New Roman"/>
                <w:b/>
                <w:color w:val="000000"/>
              </w:rPr>
            </w:pPr>
            <w:r w:rsidRPr="009A3854">
              <w:rPr>
                <w:rFonts w:ascii="Calibri" w:eastAsia="Times New Roman" w:hAnsi="Calibri" w:cs="Times New Roman"/>
                <w:b/>
                <w:color w:val="000000"/>
              </w:rPr>
              <w:t>Exam Board</w:t>
            </w:r>
          </w:p>
        </w:tc>
        <w:tc>
          <w:tcPr>
            <w:tcW w:w="658" w:type="pct"/>
            <w:noWrap/>
            <w:hideMark/>
          </w:tcPr>
          <w:p w14:paraId="2FD9BF63" w14:textId="77777777" w:rsidR="00B74305" w:rsidRPr="009A3854" w:rsidRDefault="00B74305" w:rsidP="009A3854">
            <w:pPr>
              <w:jc w:val="center"/>
              <w:rPr>
                <w:rFonts w:ascii="Calibri" w:eastAsia="Times New Roman" w:hAnsi="Calibri" w:cs="Times New Roman"/>
                <w:b/>
                <w:color w:val="000000"/>
              </w:rPr>
            </w:pPr>
            <w:r w:rsidRPr="009A3854">
              <w:rPr>
                <w:rFonts w:ascii="Calibri" w:eastAsia="Times New Roman" w:hAnsi="Calibri" w:cs="Times New Roman"/>
                <w:b/>
                <w:color w:val="000000"/>
              </w:rPr>
              <w:t>Share</w:t>
            </w:r>
          </w:p>
        </w:tc>
        <w:tc>
          <w:tcPr>
            <w:tcW w:w="684" w:type="pct"/>
            <w:noWrap/>
            <w:hideMark/>
          </w:tcPr>
          <w:p w14:paraId="4F8FFDAC" w14:textId="77777777" w:rsidR="00B74305" w:rsidRPr="009A3854" w:rsidRDefault="00B74305" w:rsidP="009A3854">
            <w:pPr>
              <w:jc w:val="center"/>
              <w:rPr>
                <w:rFonts w:ascii="Calibri" w:eastAsia="Times New Roman" w:hAnsi="Calibri" w:cs="Times New Roman"/>
                <w:b/>
                <w:color w:val="000000"/>
              </w:rPr>
            </w:pPr>
            <w:r w:rsidRPr="009A3854">
              <w:rPr>
                <w:rFonts w:ascii="Calibri" w:eastAsia="Times New Roman" w:hAnsi="Calibri" w:cs="Times New Roman"/>
                <w:b/>
                <w:color w:val="000000"/>
              </w:rPr>
              <w:t>Candidates</w:t>
            </w:r>
          </w:p>
        </w:tc>
        <w:tc>
          <w:tcPr>
            <w:tcW w:w="397" w:type="pct"/>
            <w:noWrap/>
            <w:hideMark/>
          </w:tcPr>
          <w:p w14:paraId="62039EFA" w14:textId="77777777" w:rsidR="00B74305" w:rsidRPr="009A3854" w:rsidRDefault="00B74305" w:rsidP="009A3854">
            <w:pPr>
              <w:jc w:val="center"/>
              <w:rPr>
                <w:rFonts w:ascii="Calibri" w:eastAsia="Times New Roman" w:hAnsi="Calibri" w:cs="Times New Roman"/>
                <w:b/>
                <w:color w:val="000000"/>
              </w:rPr>
            </w:pPr>
            <w:r w:rsidRPr="009A3854">
              <w:rPr>
                <w:rFonts w:ascii="Calibri" w:eastAsia="Times New Roman" w:hAnsi="Calibri" w:cs="Times New Roman"/>
                <w:b/>
                <w:color w:val="000000"/>
              </w:rPr>
              <w:t>A</w:t>
            </w:r>
          </w:p>
        </w:tc>
        <w:tc>
          <w:tcPr>
            <w:tcW w:w="397" w:type="pct"/>
            <w:noWrap/>
            <w:hideMark/>
          </w:tcPr>
          <w:p w14:paraId="3FF6C173" w14:textId="77777777" w:rsidR="00B74305" w:rsidRPr="009A3854" w:rsidRDefault="00B74305" w:rsidP="009A3854">
            <w:pPr>
              <w:jc w:val="center"/>
              <w:rPr>
                <w:rFonts w:ascii="Calibri" w:eastAsia="Times New Roman" w:hAnsi="Calibri" w:cs="Times New Roman"/>
                <w:b/>
                <w:color w:val="000000"/>
              </w:rPr>
            </w:pPr>
            <w:r w:rsidRPr="009A3854">
              <w:rPr>
                <w:rFonts w:ascii="Calibri" w:eastAsia="Times New Roman" w:hAnsi="Calibri" w:cs="Times New Roman"/>
                <w:b/>
                <w:color w:val="000000"/>
              </w:rPr>
              <w:t>B</w:t>
            </w:r>
          </w:p>
        </w:tc>
        <w:tc>
          <w:tcPr>
            <w:tcW w:w="397" w:type="pct"/>
            <w:noWrap/>
            <w:hideMark/>
          </w:tcPr>
          <w:p w14:paraId="78683071" w14:textId="77777777" w:rsidR="00B74305" w:rsidRPr="009A3854" w:rsidRDefault="00B74305" w:rsidP="009A3854">
            <w:pPr>
              <w:jc w:val="center"/>
              <w:rPr>
                <w:rFonts w:ascii="Calibri" w:eastAsia="Times New Roman" w:hAnsi="Calibri" w:cs="Times New Roman"/>
                <w:b/>
                <w:color w:val="000000"/>
              </w:rPr>
            </w:pPr>
            <w:r w:rsidRPr="009A3854">
              <w:rPr>
                <w:rFonts w:ascii="Calibri" w:eastAsia="Times New Roman" w:hAnsi="Calibri" w:cs="Times New Roman"/>
                <w:b/>
                <w:color w:val="000000"/>
              </w:rPr>
              <w:t>C</w:t>
            </w:r>
          </w:p>
        </w:tc>
        <w:tc>
          <w:tcPr>
            <w:tcW w:w="397" w:type="pct"/>
            <w:noWrap/>
            <w:hideMark/>
          </w:tcPr>
          <w:p w14:paraId="50174CD2" w14:textId="77777777" w:rsidR="00B74305" w:rsidRPr="009A3854" w:rsidRDefault="00B74305" w:rsidP="009A3854">
            <w:pPr>
              <w:jc w:val="center"/>
              <w:rPr>
                <w:rFonts w:ascii="Calibri" w:eastAsia="Times New Roman" w:hAnsi="Calibri" w:cs="Times New Roman"/>
                <w:b/>
                <w:color w:val="000000"/>
              </w:rPr>
            </w:pPr>
            <w:r w:rsidRPr="009A3854">
              <w:rPr>
                <w:rFonts w:ascii="Calibri" w:eastAsia="Times New Roman" w:hAnsi="Calibri" w:cs="Times New Roman"/>
                <w:b/>
                <w:color w:val="000000"/>
              </w:rPr>
              <w:t>D</w:t>
            </w:r>
          </w:p>
        </w:tc>
        <w:tc>
          <w:tcPr>
            <w:tcW w:w="397" w:type="pct"/>
            <w:noWrap/>
            <w:hideMark/>
          </w:tcPr>
          <w:p w14:paraId="28EAF22D" w14:textId="77777777" w:rsidR="00B74305" w:rsidRPr="009A3854" w:rsidRDefault="00B74305" w:rsidP="009A3854">
            <w:pPr>
              <w:jc w:val="center"/>
              <w:rPr>
                <w:rFonts w:ascii="Calibri" w:eastAsia="Times New Roman" w:hAnsi="Calibri" w:cs="Times New Roman"/>
                <w:b/>
                <w:color w:val="000000"/>
              </w:rPr>
            </w:pPr>
            <w:r w:rsidRPr="009A3854">
              <w:rPr>
                <w:rFonts w:ascii="Calibri" w:eastAsia="Times New Roman" w:hAnsi="Calibri" w:cs="Times New Roman"/>
                <w:b/>
                <w:color w:val="000000"/>
              </w:rPr>
              <w:t>E</w:t>
            </w:r>
          </w:p>
        </w:tc>
      </w:tr>
      <w:tr w:rsidR="00B74305" w:rsidRPr="009728CE" w14:paraId="5A9E9003" w14:textId="77777777" w:rsidTr="009A3854">
        <w:trPr>
          <w:gridAfter w:val="1"/>
          <w:wAfter w:w="381" w:type="pct"/>
          <w:trHeight w:val="320"/>
        </w:trPr>
        <w:tc>
          <w:tcPr>
            <w:tcW w:w="1292" w:type="pct"/>
            <w:noWrap/>
            <w:hideMark/>
          </w:tcPr>
          <w:p w14:paraId="7A9137E0" w14:textId="77777777" w:rsidR="00B74305" w:rsidRPr="009A3854" w:rsidRDefault="00B74305" w:rsidP="00DF2669">
            <w:pPr>
              <w:rPr>
                <w:rFonts w:ascii="Calibri" w:eastAsia="Times New Roman" w:hAnsi="Calibri" w:cs="Times New Roman"/>
                <w:b/>
                <w:i/>
                <w:color w:val="000000"/>
              </w:rPr>
            </w:pPr>
            <w:r w:rsidRPr="009A3854">
              <w:rPr>
                <w:rFonts w:ascii="Calibri" w:eastAsia="Times New Roman" w:hAnsi="Calibri" w:cs="Times New Roman"/>
                <w:b/>
                <w:i/>
                <w:color w:val="000000"/>
              </w:rPr>
              <w:t>AQA</w:t>
            </w:r>
          </w:p>
        </w:tc>
        <w:tc>
          <w:tcPr>
            <w:tcW w:w="658" w:type="pct"/>
            <w:noWrap/>
            <w:hideMark/>
          </w:tcPr>
          <w:p w14:paraId="30199532"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27.3%</w:t>
            </w:r>
          </w:p>
        </w:tc>
        <w:tc>
          <w:tcPr>
            <w:tcW w:w="684" w:type="pct"/>
            <w:noWrap/>
            <w:hideMark/>
          </w:tcPr>
          <w:p w14:paraId="607D6CB7"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6383</w:t>
            </w:r>
          </w:p>
        </w:tc>
        <w:tc>
          <w:tcPr>
            <w:tcW w:w="397" w:type="pct"/>
            <w:noWrap/>
            <w:hideMark/>
          </w:tcPr>
          <w:p w14:paraId="46C0823F"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21.0</w:t>
            </w:r>
          </w:p>
        </w:tc>
        <w:tc>
          <w:tcPr>
            <w:tcW w:w="397" w:type="pct"/>
            <w:noWrap/>
            <w:hideMark/>
          </w:tcPr>
          <w:p w14:paraId="62517597"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42.9</w:t>
            </w:r>
          </w:p>
        </w:tc>
        <w:tc>
          <w:tcPr>
            <w:tcW w:w="397" w:type="pct"/>
            <w:noWrap/>
            <w:hideMark/>
          </w:tcPr>
          <w:p w14:paraId="6A18FF5D"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63.5</w:t>
            </w:r>
          </w:p>
        </w:tc>
        <w:tc>
          <w:tcPr>
            <w:tcW w:w="397" w:type="pct"/>
            <w:noWrap/>
            <w:hideMark/>
          </w:tcPr>
          <w:p w14:paraId="5C0986FF"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80.8</w:t>
            </w:r>
          </w:p>
        </w:tc>
        <w:tc>
          <w:tcPr>
            <w:tcW w:w="397" w:type="pct"/>
            <w:noWrap/>
            <w:hideMark/>
          </w:tcPr>
          <w:p w14:paraId="748CDA45"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91.5</w:t>
            </w:r>
          </w:p>
        </w:tc>
      </w:tr>
      <w:tr w:rsidR="00B74305" w:rsidRPr="009728CE" w14:paraId="783684C8" w14:textId="77777777" w:rsidTr="009A3854">
        <w:trPr>
          <w:gridAfter w:val="1"/>
          <w:wAfter w:w="381" w:type="pct"/>
          <w:trHeight w:val="320"/>
        </w:trPr>
        <w:tc>
          <w:tcPr>
            <w:tcW w:w="1292" w:type="pct"/>
            <w:noWrap/>
            <w:hideMark/>
          </w:tcPr>
          <w:p w14:paraId="1007A22D" w14:textId="77777777" w:rsidR="00B74305" w:rsidRPr="009A3854" w:rsidRDefault="00B74305" w:rsidP="00DF2669">
            <w:pPr>
              <w:rPr>
                <w:rFonts w:ascii="Calibri" w:eastAsia="Times New Roman" w:hAnsi="Calibri" w:cs="Times New Roman"/>
                <w:b/>
                <w:i/>
                <w:color w:val="000000"/>
              </w:rPr>
            </w:pPr>
            <w:r w:rsidRPr="009A3854">
              <w:rPr>
                <w:rFonts w:ascii="Calibri" w:eastAsia="Times New Roman" w:hAnsi="Calibri" w:cs="Times New Roman"/>
                <w:b/>
                <w:i/>
                <w:color w:val="000000"/>
              </w:rPr>
              <w:t>Edexcel</w:t>
            </w:r>
          </w:p>
        </w:tc>
        <w:tc>
          <w:tcPr>
            <w:tcW w:w="658" w:type="pct"/>
            <w:noWrap/>
            <w:hideMark/>
          </w:tcPr>
          <w:p w14:paraId="0FE55F15"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66.2%</w:t>
            </w:r>
          </w:p>
        </w:tc>
        <w:tc>
          <w:tcPr>
            <w:tcW w:w="684" w:type="pct"/>
            <w:noWrap/>
            <w:hideMark/>
          </w:tcPr>
          <w:p w14:paraId="6D7D6E16"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15484</w:t>
            </w:r>
          </w:p>
        </w:tc>
        <w:tc>
          <w:tcPr>
            <w:tcW w:w="397" w:type="pct"/>
            <w:noWrap/>
            <w:hideMark/>
          </w:tcPr>
          <w:p w14:paraId="7FF52A70"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21.2</w:t>
            </w:r>
          </w:p>
        </w:tc>
        <w:tc>
          <w:tcPr>
            <w:tcW w:w="397" w:type="pct"/>
            <w:noWrap/>
            <w:hideMark/>
          </w:tcPr>
          <w:p w14:paraId="7B6A12FB"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43.6</w:t>
            </w:r>
          </w:p>
        </w:tc>
        <w:tc>
          <w:tcPr>
            <w:tcW w:w="397" w:type="pct"/>
            <w:noWrap/>
            <w:hideMark/>
          </w:tcPr>
          <w:p w14:paraId="2F67109C"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65.9</w:t>
            </w:r>
          </w:p>
        </w:tc>
        <w:tc>
          <w:tcPr>
            <w:tcW w:w="397" w:type="pct"/>
            <w:noWrap/>
            <w:hideMark/>
          </w:tcPr>
          <w:p w14:paraId="1FF4FA07"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80.9</w:t>
            </w:r>
          </w:p>
        </w:tc>
        <w:tc>
          <w:tcPr>
            <w:tcW w:w="397" w:type="pct"/>
            <w:noWrap/>
            <w:hideMark/>
          </w:tcPr>
          <w:p w14:paraId="1428B1B7"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90.3</w:t>
            </w:r>
          </w:p>
        </w:tc>
      </w:tr>
      <w:tr w:rsidR="00B74305" w:rsidRPr="009728CE" w14:paraId="471725C7" w14:textId="77777777" w:rsidTr="009A3854">
        <w:trPr>
          <w:gridAfter w:val="1"/>
          <w:wAfter w:w="381" w:type="pct"/>
          <w:trHeight w:val="320"/>
        </w:trPr>
        <w:tc>
          <w:tcPr>
            <w:tcW w:w="1292" w:type="pct"/>
            <w:noWrap/>
            <w:hideMark/>
          </w:tcPr>
          <w:p w14:paraId="5E90DB8C" w14:textId="77777777" w:rsidR="00B74305" w:rsidRPr="009A3854" w:rsidRDefault="00B74305" w:rsidP="00DF2669">
            <w:pPr>
              <w:rPr>
                <w:rFonts w:ascii="Calibri" w:eastAsia="Times New Roman" w:hAnsi="Calibri" w:cs="Times New Roman"/>
                <w:b/>
                <w:i/>
                <w:color w:val="000000"/>
              </w:rPr>
            </w:pPr>
            <w:r w:rsidRPr="009A3854">
              <w:rPr>
                <w:rFonts w:ascii="Calibri" w:eastAsia="Times New Roman" w:hAnsi="Calibri" w:cs="Times New Roman"/>
                <w:b/>
                <w:i/>
                <w:color w:val="000000"/>
              </w:rPr>
              <w:t>OCR</w:t>
            </w:r>
          </w:p>
        </w:tc>
        <w:tc>
          <w:tcPr>
            <w:tcW w:w="658" w:type="pct"/>
            <w:noWrap/>
            <w:hideMark/>
          </w:tcPr>
          <w:p w14:paraId="76438377"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4.6%</w:t>
            </w:r>
          </w:p>
        </w:tc>
        <w:tc>
          <w:tcPr>
            <w:tcW w:w="684" w:type="pct"/>
            <w:noWrap/>
            <w:hideMark/>
          </w:tcPr>
          <w:p w14:paraId="171764DE"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1078</w:t>
            </w:r>
          </w:p>
        </w:tc>
        <w:tc>
          <w:tcPr>
            <w:tcW w:w="397" w:type="pct"/>
            <w:noWrap/>
            <w:hideMark/>
          </w:tcPr>
          <w:p w14:paraId="77855D34"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26.3</w:t>
            </w:r>
          </w:p>
        </w:tc>
        <w:tc>
          <w:tcPr>
            <w:tcW w:w="397" w:type="pct"/>
            <w:noWrap/>
            <w:hideMark/>
          </w:tcPr>
          <w:p w14:paraId="52559BCF"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50.0</w:t>
            </w:r>
          </w:p>
        </w:tc>
        <w:tc>
          <w:tcPr>
            <w:tcW w:w="397" w:type="pct"/>
            <w:noWrap/>
            <w:hideMark/>
          </w:tcPr>
          <w:p w14:paraId="39474138"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69.0</w:t>
            </w:r>
          </w:p>
        </w:tc>
        <w:tc>
          <w:tcPr>
            <w:tcW w:w="397" w:type="pct"/>
            <w:noWrap/>
            <w:hideMark/>
          </w:tcPr>
          <w:p w14:paraId="7D9DE632"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83.4</w:t>
            </w:r>
          </w:p>
        </w:tc>
        <w:tc>
          <w:tcPr>
            <w:tcW w:w="397" w:type="pct"/>
            <w:noWrap/>
            <w:hideMark/>
          </w:tcPr>
          <w:p w14:paraId="2D94F8BD"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91.2</w:t>
            </w:r>
          </w:p>
        </w:tc>
      </w:tr>
      <w:tr w:rsidR="00B74305" w:rsidRPr="009728CE" w14:paraId="18A70C00" w14:textId="77777777" w:rsidTr="00B74305">
        <w:trPr>
          <w:gridAfter w:val="1"/>
          <w:wAfter w:w="381" w:type="pct"/>
          <w:trHeight w:val="320"/>
        </w:trPr>
        <w:tc>
          <w:tcPr>
            <w:tcW w:w="1292" w:type="pct"/>
            <w:tcBorders>
              <w:bottom w:val="single" w:sz="4" w:space="0" w:color="auto"/>
            </w:tcBorders>
            <w:noWrap/>
            <w:hideMark/>
          </w:tcPr>
          <w:p w14:paraId="5E112932" w14:textId="77777777" w:rsidR="00B74305" w:rsidRPr="009A3854" w:rsidRDefault="00B74305" w:rsidP="00DF2669">
            <w:pPr>
              <w:rPr>
                <w:rFonts w:ascii="Calibri" w:eastAsia="Times New Roman" w:hAnsi="Calibri" w:cs="Times New Roman"/>
                <w:b/>
                <w:i/>
                <w:color w:val="000000"/>
              </w:rPr>
            </w:pPr>
            <w:r w:rsidRPr="009A3854">
              <w:rPr>
                <w:rFonts w:ascii="Calibri" w:eastAsia="Times New Roman" w:hAnsi="Calibri" w:cs="Times New Roman"/>
                <w:b/>
                <w:i/>
                <w:color w:val="000000"/>
              </w:rPr>
              <w:t>Eduqas / WJEC</w:t>
            </w:r>
          </w:p>
        </w:tc>
        <w:tc>
          <w:tcPr>
            <w:tcW w:w="658" w:type="pct"/>
            <w:tcBorders>
              <w:bottom w:val="single" w:sz="4" w:space="0" w:color="auto"/>
            </w:tcBorders>
            <w:noWrap/>
            <w:hideMark/>
          </w:tcPr>
          <w:p w14:paraId="53663E33"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2.0%</w:t>
            </w:r>
          </w:p>
        </w:tc>
        <w:tc>
          <w:tcPr>
            <w:tcW w:w="684" w:type="pct"/>
            <w:tcBorders>
              <w:bottom w:val="single" w:sz="4" w:space="0" w:color="auto"/>
            </w:tcBorders>
            <w:noWrap/>
            <w:hideMark/>
          </w:tcPr>
          <w:p w14:paraId="146D1EF8"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461</w:t>
            </w:r>
          </w:p>
        </w:tc>
        <w:tc>
          <w:tcPr>
            <w:tcW w:w="397" w:type="pct"/>
            <w:tcBorders>
              <w:bottom w:val="single" w:sz="4" w:space="0" w:color="auto"/>
            </w:tcBorders>
            <w:noWrap/>
            <w:hideMark/>
          </w:tcPr>
          <w:p w14:paraId="3949CDE9"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17.4</w:t>
            </w:r>
          </w:p>
        </w:tc>
        <w:tc>
          <w:tcPr>
            <w:tcW w:w="397" w:type="pct"/>
            <w:tcBorders>
              <w:bottom w:val="single" w:sz="4" w:space="0" w:color="auto"/>
            </w:tcBorders>
            <w:noWrap/>
            <w:hideMark/>
          </w:tcPr>
          <w:p w14:paraId="5F6D37DD"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39.5</w:t>
            </w:r>
          </w:p>
        </w:tc>
        <w:tc>
          <w:tcPr>
            <w:tcW w:w="397" w:type="pct"/>
            <w:tcBorders>
              <w:bottom w:val="single" w:sz="4" w:space="0" w:color="auto"/>
            </w:tcBorders>
            <w:noWrap/>
            <w:hideMark/>
          </w:tcPr>
          <w:p w14:paraId="7C04F96A"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64.9</w:t>
            </w:r>
          </w:p>
        </w:tc>
        <w:tc>
          <w:tcPr>
            <w:tcW w:w="397" w:type="pct"/>
            <w:tcBorders>
              <w:bottom w:val="single" w:sz="4" w:space="0" w:color="auto"/>
            </w:tcBorders>
            <w:noWrap/>
            <w:hideMark/>
          </w:tcPr>
          <w:p w14:paraId="65E1596E"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79.2</w:t>
            </w:r>
          </w:p>
        </w:tc>
        <w:tc>
          <w:tcPr>
            <w:tcW w:w="397" w:type="pct"/>
            <w:tcBorders>
              <w:bottom w:val="single" w:sz="4" w:space="0" w:color="auto"/>
            </w:tcBorders>
            <w:noWrap/>
            <w:hideMark/>
          </w:tcPr>
          <w:p w14:paraId="1130CFF8" w14:textId="77777777" w:rsidR="00B74305" w:rsidRPr="009728CE" w:rsidRDefault="00B74305" w:rsidP="009A3854">
            <w:pPr>
              <w:jc w:val="center"/>
              <w:rPr>
                <w:rFonts w:ascii="Calibri" w:eastAsia="Times New Roman" w:hAnsi="Calibri" w:cs="Times New Roman"/>
                <w:color w:val="000000"/>
              </w:rPr>
            </w:pPr>
            <w:r w:rsidRPr="009728CE">
              <w:rPr>
                <w:rFonts w:ascii="Calibri" w:eastAsia="Times New Roman" w:hAnsi="Calibri" w:cs="Times New Roman"/>
                <w:color w:val="000000"/>
              </w:rPr>
              <w:t>90.2</w:t>
            </w:r>
          </w:p>
        </w:tc>
      </w:tr>
      <w:tr w:rsidR="009A3854" w:rsidRPr="009728CE" w14:paraId="751272BE" w14:textId="77777777" w:rsidTr="00B74305">
        <w:trPr>
          <w:trHeight w:val="320"/>
        </w:trPr>
        <w:tc>
          <w:tcPr>
            <w:tcW w:w="1292" w:type="pct"/>
            <w:tcBorders>
              <w:bottom w:val="single" w:sz="4" w:space="0" w:color="auto"/>
            </w:tcBorders>
            <w:noWrap/>
            <w:hideMark/>
          </w:tcPr>
          <w:p w14:paraId="5B842A99" w14:textId="77777777" w:rsidR="009A3854" w:rsidRPr="009A3854" w:rsidRDefault="009A3854" w:rsidP="00DF2669">
            <w:pPr>
              <w:rPr>
                <w:rFonts w:ascii="Calibri" w:eastAsia="Times New Roman" w:hAnsi="Calibri" w:cs="Times New Roman"/>
                <w:b/>
                <w:color w:val="000000"/>
              </w:rPr>
            </w:pPr>
            <w:r w:rsidRPr="009A3854">
              <w:rPr>
                <w:rFonts w:ascii="Calibri" w:eastAsia="Times New Roman" w:hAnsi="Calibri" w:cs="Times New Roman"/>
                <w:b/>
                <w:color w:val="000000"/>
              </w:rPr>
              <w:t>Total</w:t>
            </w:r>
          </w:p>
        </w:tc>
        <w:tc>
          <w:tcPr>
            <w:tcW w:w="658" w:type="pct"/>
            <w:tcBorders>
              <w:bottom w:val="single" w:sz="4" w:space="0" w:color="auto"/>
            </w:tcBorders>
            <w:noWrap/>
            <w:hideMark/>
          </w:tcPr>
          <w:p w14:paraId="78631E2C" w14:textId="77777777" w:rsidR="009A3854" w:rsidRPr="00B74305" w:rsidRDefault="009A3854" w:rsidP="009A3854">
            <w:pPr>
              <w:jc w:val="center"/>
              <w:rPr>
                <w:rFonts w:ascii="Calibri" w:eastAsia="Times New Roman" w:hAnsi="Calibri" w:cs="Times New Roman"/>
                <w:b/>
                <w:color w:val="000000"/>
              </w:rPr>
            </w:pPr>
            <w:r w:rsidRPr="00B74305">
              <w:rPr>
                <w:rFonts w:ascii="Calibri" w:eastAsia="Times New Roman" w:hAnsi="Calibri" w:cs="Times New Roman"/>
                <w:b/>
                <w:color w:val="000000"/>
              </w:rPr>
              <w:t>100.0%</w:t>
            </w:r>
          </w:p>
        </w:tc>
        <w:tc>
          <w:tcPr>
            <w:tcW w:w="684" w:type="pct"/>
            <w:tcBorders>
              <w:bottom w:val="single" w:sz="4" w:space="0" w:color="auto"/>
            </w:tcBorders>
            <w:noWrap/>
            <w:hideMark/>
          </w:tcPr>
          <w:p w14:paraId="0D898216" w14:textId="77777777" w:rsidR="009A3854" w:rsidRPr="00B74305" w:rsidRDefault="009A3854" w:rsidP="009A3854">
            <w:pPr>
              <w:jc w:val="center"/>
              <w:rPr>
                <w:rFonts w:ascii="Calibri" w:eastAsia="Times New Roman" w:hAnsi="Calibri" w:cs="Times New Roman"/>
                <w:b/>
                <w:color w:val="000000"/>
              </w:rPr>
            </w:pPr>
            <w:r w:rsidRPr="00B74305">
              <w:rPr>
                <w:rFonts w:ascii="Calibri" w:eastAsia="Times New Roman" w:hAnsi="Calibri" w:cs="Times New Roman"/>
                <w:b/>
                <w:color w:val="000000"/>
              </w:rPr>
              <w:t>23406</w:t>
            </w:r>
          </w:p>
        </w:tc>
        <w:tc>
          <w:tcPr>
            <w:tcW w:w="2366" w:type="pct"/>
            <w:gridSpan w:val="6"/>
            <w:tcBorders>
              <w:bottom w:val="nil"/>
              <w:right w:val="nil"/>
            </w:tcBorders>
            <w:noWrap/>
            <w:hideMark/>
          </w:tcPr>
          <w:p w14:paraId="6F504275" w14:textId="77777777" w:rsidR="009A3854" w:rsidRPr="009728CE" w:rsidRDefault="009A3854" w:rsidP="009A3854">
            <w:pPr>
              <w:jc w:val="center"/>
              <w:rPr>
                <w:rFonts w:ascii="Times New Roman" w:eastAsia="Times New Roman" w:hAnsi="Times New Roman" w:cs="Times New Roman"/>
                <w:sz w:val="20"/>
                <w:szCs w:val="20"/>
              </w:rPr>
            </w:pPr>
          </w:p>
        </w:tc>
      </w:tr>
      <w:tr w:rsidR="009A3854" w:rsidRPr="009728CE" w14:paraId="39577318" w14:textId="77777777" w:rsidTr="00B74305">
        <w:trPr>
          <w:trHeight w:val="650"/>
        </w:trPr>
        <w:tc>
          <w:tcPr>
            <w:tcW w:w="5000" w:type="pct"/>
            <w:gridSpan w:val="9"/>
            <w:tcBorders>
              <w:top w:val="nil"/>
              <w:left w:val="nil"/>
              <w:bottom w:val="single" w:sz="4" w:space="0" w:color="auto"/>
              <w:right w:val="nil"/>
            </w:tcBorders>
            <w:noWrap/>
            <w:hideMark/>
          </w:tcPr>
          <w:p w14:paraId="5FC8E71F" w14:textId="77777777" w:rsidR="009A3854" w:rsidRPr="009728CE" w:rsidRDefault="009A3854" w:rsidP="00C6670B">
            <w:pPr>
              <w:rPr>
                <w:rFonts w:ascii="Times New Roman" w:eastAsia="Times New Roman" w:hAnsi="Times New Roman" w:cs="Times New Roman"/>
                <w:sz w:val="20"/>
                <w:szCs w:val="20"/>
              </w:rPr>
            </w:pPr>
          </w:p>
        </w:tc>
      </w:tr>
      <w:tr w:rsidR="009A3854" w:rsidRPr="009728CE" w14:paraId="4133B02B" w14:textId="77777777" w:rsidTr="009A3854">
        <w:trPr>
          <w:trHeight w:val="320"/>
        </w:trPr>
        <w:tc>
          <w:tcPr>
            <w:tcW w:w="5000" w:type="pct"/>
            <w:gridSpan w:val="9"/>
            <w:shd w:val="clear" w:color="auto" w:fill="BDD6EE" w:themeFill="accent1" w:themeFillTint="66"/>
            <w:noWrap/>
            <w:hideMark/>
          </w:tcPr>
          <w:p w14:paraId="6AE72999" w14:textId="77777777" w:rsidR="009A3854" w:rsidRPr="009A3854" w:rsidRDefault="009A3854" w:rsidP="009A3854">
            <w:pPr>
              <w:jc w:val="center"/>
              <w:rPr>
                <w:rFonts w:ascii="Times New Roman" w:eastAsia="Times New Roman" w:hAnsi="Times New Roman" w:cs="Times New Roman"/>
                <w:b/>
                <w:sz w:val="20"/>
                <w:szCs w:val="20"/>
              </w:rPr>
            </w:pPr>
            <w:r w:rsidRPr="009A3854">
              <w:rPr>
                <w:rFonts w:ascii="Calibri" w:eastAsia="Times New Roman" w:hAnsi="Calibri" w:cs="Times New Roman"/>
                <w:b/>
                <w:color w:val="000000"/>
              </w:rPr>
              <w:t>A2 POLITICS ENTRIES (Summer 2016)</w:t>
            </w:r>
          </w:p>
        </w:tc>
      </w:tr>
      <w:tr w:rsidR="009A3854" w:rsidRPr="009728CE" w14:paraId="742A3029" w14:textId="77777777" w:rsidTr="009A3854">
        <w:trPr>
          <w:trHeight w:val="320"/>
        </w:trPr>
        <w:tc>
          <w:tcPr>
            <w:tcW w:w="1292" w:type="pct"/>
            <w:noWrap/>
            <w:hideMark/>
          </w:tcPr>
          <w:p w14:paraId="76FA3683" w14:textId="77777777" w:rsidR="009A3854" w:rsidRPr="009A3854" w:rsidRDefault="009A3854" w:rsidP="00DF2669">
            <w:pPr>
              <w:rPr>
                <w:rFonts w:ascii="Calibri" w:eastAsia="Times New Roman" w:hAnsi="Calibri" w:cs="Times New Roman"/>
                <w:b/>
                <w:color w:val="000000"/>
              </w:rPr>
            </w:pPr>
            <w:r w:rsidRPr="009A3854">
              <w:rPr>
                <w:rFonts w:ascii="Calibri" w:eastAsia="Times New Roman" w:hAnsi="Calibri" w:cs="Times New Roman"/>
                <w:b/>
                <w:color w:val="000000"/>
              </w:rPr>
              <w:t>Exam Board</w:t>
            </w:r>
          </w:p>
        </w:tc>
        <w:tc>
          <w:tcPr>
            <w:tcW w:w="658" w:type="pct"/>
            <w:noWrap/>
            <w:hideMark/>
          </w:tcPr>
          <w:p w14:paraId="780A3812" w14:textId="77777777" w:rsidR="009A3854" w:rsidRPr="009A3854" w:rsidRDefault="009A3854" w:rsidP="00DF2669">
            <w:pPr>
              <w:jc w:val="right"/>
              <w:rPr>
                <w:rFonts w:ascii="Calibri" w:eastAsia="Times New Roman" w:hAnsi="Calibri" w:cs="Times New Roman"/>
                <w:b/>
                <w:color w:val="000000"/>
              </w:rPr>
            </w:pPr>
            <w:r w:rsidRPr="009A3854">
              <w:rPr>
                <w:rFonts w:ascii="Calibri" w:eastAsia="Times New Roman" w:hAnsi="Calibri" w:cs="Times New Roman"/>
                <w:b/>
                <w:color w:val="000000"/>
              </w:rPr>
              <w:t>Share</w:t>
            </w:r>
          </w:p>
        </w:tc>
        <w:tc>
          <w:tcPr>
            <w:tcW w:w="684" w:type="pct"/>
            <w:noWrap/>
            <w:hideMark/>
          </w:tcPr>
          <w:p w14:paraId="3B160DBD" w14:textId="77777777" w:rsidR="009A3854" w:rsidRPr="009A3854" w:rsidRDefault="009A3854" w:rsidP="00DF2669">
            <w:pPr>
              <w:jc w:val="right"/>
              <w:rPr>
                <w:rFonts w:ascii="Calibri" w:eastAsia="Times New Roman" w:hAnsi="Calibri" w:cs="Times New Roman"/>
                <w:b/>
                <w:color w:val="000000"/>
              </w:rPr>
            </w:pPr>
            <w:r w:rsidRPr="009A3854">
              <w:rPr>
                <w:rFonts w:ascii="Calibri" w:eastAsia="Times New Roman" w:hAnsi="Calibri" w:cs="Times New Roman"/>
                <w:b/>
                <w:color w:val="000000"/>
              </w:rPr>
              <w:t>Candidates</w:t>
            </w:r>
          </w:p>
        </w:tc>
        <w:tc>
          <w:tcPr>
            <w:tcW w:w="397" w:type="pct"/>
            <w:noWrap/>
            <w:hideMark/>
          </w:tcPr>
          <w:p w14:paraId="5819E799" w14:textId="77777777" w:rsidR="009A3854" w:rsidRPr="009A3854" w:rsidRDefault="009A3854" w:rsidP="00DF2669">
            <w:pPr>
              <w:jc w:val="right"/>
              <w:rPr>
                <w:rFonts w:ascii="Calibri" w:eastAsia="Times New Roman" w:hAnsi="Calibri" w:cs="Times New Roman"/>
                <w:b/>
                <w:color w:val="000000"/>
              </w:rPr>
            </w:pPr>
            <w:r w:rsidRPr="009A3854">
              <w:rPr>
                <w:rFonts w:ascii="Calibri" w:eastAsia="Times New Roman" w:hAnsi="Calibri" w:cs="Times New Roman"/>
                <w:b/>
                <w:color w:val="000000"/>
              </w:rPr>
              <w:t>A*</w:t>
            </w:r>
          </w:p>
        </w:tc>
        <w:tc>
          <w:tcPr>
            <w:tcW w:w="397" w:type="pct"/>
            <w:noWrap/>
            <w:hideMark/>
          </w:tcPr>
          <w:p w14:paraId="74D6AD8C" w14:textId="77777777" w:rsidR="009A3854" w:rsidRPr="009A3854" w:rsidRDefault="009A3854" w:rsidP="00DF2669">
            <w:pPr>
              <w:jc w:val="right"/>
              <w:rPr>
                <w:rFonts w:ascii="Calibri" w:eastAsia="Times New Roman" w:hAnsi="Calibri" w:cs="Times New Roman"/>
                <w:b/>
                <w:color w:val="000000"/>
              </w:rPr>
            </w:pPr>
            <w:r w:rsidRPr="009A3854">
              <w:rPr>
                <w:rFonts w:ascii="Calibri" w:eastAsia="Times New Roman" w:hAnsi="Calibri" w:cs="Times New Roman"/>
                <w:b/>
                <w:color w:val="000000"/>
              </w:rPr>
              <w:t>A</w:t>
            </w:r>
          </w:p>
        </w:tc>
        <w:tc>
          <w:tcPr>
            <w:tcW w:w="397" w:type="pct"/>
            <w:noWrap/>
            <w:hideMark/>
          </w:tcPr>
          <w:p w14:paraId="6ACCD34F" w14:textId="77777777" w:rsidR="009A3854" w:rsidRPr="009A3854" w:rsidRDefault="009A3854" w:rsidP="00DF2669">
            <w:pPr>
              <w:jc w:val="right"/>
              <w:rPr>
                <w:rFonts w:ascii="Calibri" w:eastAsia="Times New Roman" w:hAnsi="Calibri" w:cs="Times New Roman"/>
                <w:b/>
                <w:color w:val="000000"/>
              </w:rPr>
            </w:pPr>
            <w:r w:rsidRPr="009A3854">
              <w:rPr>
                <w:rFonts w:ascii="Calibri" w:eastAsia="Times New Roman" w:hAnsi="Calibri" w:cs="Times New Roman"/>
                <w:b/>
                <w:color w:val="000000"/>
              </w:rPr>
              <w:t>B</w:t>
            </w:r>
          </w:p>
        </w:tc>
        <w:tc>
          <w:tcPr>
            <w:tcW w:w="397" w:type="pct"/>
            <w:noWrap/>
            <w:hideMark/>
          </w:tcPr>
          <w:p w14:paraId="4ED37CDA" w14:textId="77777777" w:rsidR="009A3854" w:rsidRPr="009A3854" w:rsidRDefault="009A3854" w:rsidP="00DF2669">
            <w:pPr>
              <w:jc w:val="right"/>
              <w:rPr>
                <w:rFonts w:ascii="Calibri" w:eastAsia="Times New Roman" w:hAnsi="Calibri" w:cs="Times New Roman"/>
                <w:b/>
                <w:color w:val="000000"/>
              </w:rPr>
            </w:pPr>
            <w:r w:rsidRPr="009A3854">
              <w:rPr>
                <w:rFonts w:ascii="Calibri" w:eastAsia="Times New Roman" w:hAnsi="Calibri" w:cs="Times New Roman"/>
                <w:b/>
                <w:color w:val="000000"/>
              </w:rPr>
              <w:t>C</w:t>
            </w:r>
          </w:p>
        </w:tc>
        <w:tc>
          <w:tcPr>
            <w:tcW w:w="397" w:type="pct"/>
            <w:noWrap/>
            <w:hideMark/>
          </w:tcPr>
          <w:p w14:paraId="22699A7A" w14:textId="77777777" w:rsidR="009A3854" w:rsidRPr="009A3854" w:rsidRDefault="009A3854" w:rsidP="00DF2669">
            <w:pPr>
              <w:jc w:val="right"/>
              <w:rPr>
                <w:rFonts w:ascii="Calibri" w:eastAsia="Times New Roman" w:hAnsi="Calibri" w:cs="Times New Roman"/>
                <w:b/>
                <w:color w:val="000000"/>
              </w:rPr>
            </w:pPr>
            <w:r w:rsidRPr="009A3854">
              <w:rPr>
                <w:rFonts w:ascii="Calibri" w:eastAsia="Times New Roman" w:hAnsi="Calibri" w:cs="Times New Roman"/>
                <w:b/>
                <w:color w:val="000000"/>
              </w:rPr>
              <w:t>D</w:t>
            </w:r>
          </w:p>
        </w:tc>
        <w:tc>
          <w:tcPr>
            <w:tcW w:w="381" w:type="pct"/>
            <w:noWrap/>
            <w:hideMark/>
          </w:tcPr>
          <w:p w14:paraId="485807A5" w14:textId="77777777" w:rsidR="009A3854" w:rsidRPr="009A3854" w:rsidRDefault="009A3854" w:rsidP="00DF2669">
            <w:pPr>
              <w:jc w:val="right"/>
              <w:rPr>
                <w:rFonts w:ascii="Calibri" w:eastAsia="Times New Roman" w:hAnsi="Calibri" w:cs="Times New Roman"/>
                <w:b/>
                <w:color w:val="000000"/>
              </w:rPr>
            </w:pPr>
            <w:r w:rsidRPr="009A3854">
              <w:rPr>
                <w:rFonts w:ascii="Calibri" w:eastAsia="Times New Roman" w:hAnsi="Calibri" w:cs="Times New Roman"/>
                <w:b/>
                <w:color w:val="000000"/>
              </w:rPr>
              <w:t>E</w:t>
            </w:r>
          </w:p>
        </w:tc>
      </w:tr>
      <w:tr w:rsidR="009A3854" w:rsidRPr="009728CE" w14:paraId="694DB832" w14:textId="77777777" w:rsidTr="009A3854">
        <w:trPr>
          <w:trHeight w:val="320"/>
        </w:trPr>
        <w:tc>
          <w:tcPr>
            <w:tcW w:w="1292" w:type="pct"/>
            <w:noWrap/>
            <w:hideMark/>
          </w:tcPr>
          <w:p w14:paraId="11869254" w14:textId="77777777" w:rsidR="009A3854" w:rsidRPr="009A3854" w:rsidRDefault="009A3854" w:rsidP="00DF2669">
            <w:pPr>
              <w:rPr>
                <w:rFonts w:ascii="Calibri" w:eastAsia="Times New Roman" w:hAnsi="Calibri" w:cs="Times New Roman"/>
                <w:b/>
                <w:i/>
                <w:color w:val="000000"/>
              </w:rPr>
            </w:pPr>
            <w:r w:rsidRPr="009A3854">
              <w:rPr>
                <w:rFonts w:ascii="Calibri" w:eastAsia="Times New Roman" w:hAnsi="Calibri" w:cs="Times New Roman"/>
                <w:b/>
                <w:i/>
                <w:color w:val="000000"/>
              </w:rPr>
              <w:t>AQA</w:t>
            </w:r>
          </w:p>
        </w:tc>
        <w:tc>
          <w:tcPr>
            <w:tcW w:w="658" w:type="pct"/>
            <w:noWrap/>
            <w:hideMark/>
          </w:tcPr>
          <w:p w14:paraId="72A856B0"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25.6%</w:t>
            </w:r>
          </w:p>
        </w:tc>
        <w:tc>
          <w:tcPr>
            <w:tcW w:w="684" w:type="pct"/>
            <w:noWrap/>
            <w:hideMark/>
          </w:tcPr>
          <w:p w14:paraId="3F12844A"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3743</w:t>
            </w:r>
          </w:p>
        </w:tc>
        <w:tc>
          <w:tcPr>
            <w:tcW w:w="397" w:type="pct"/>
            <w:noWrap/>
            <w:hideMark/>
          </w:tcPr>
          <w:p w14:paraId="4469E984"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5.9</w:t>
            </w:r>
          </w:p>
        </w:tc>
        <w:tc>
          <w:tcPr>
            <w:tcW w:w="397" w:type="pct"/>
            <w:noWrap/>
            <w:hideMark/>
          </w:tcPr>
          <w:p w14:paraId="2E30569A"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25.4</w:t>
            </w:r>
          </w:p>
        </w:tc>
        <w:tc>
          <w:tcPr>
            <w:tcW w:w="397" w:type="pct"/>
            <w:noWrap/>
            <w:hideMark/>
          </w:tcPr>
          <w:p w14:paraId="0F773022"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53.7</w:t>
            </w:r>
          </w:p>
        </w:tc>
        <w:tc>
          <w:tcPr>
            <w:tcW w:w="397" w:type="pct"/>
            <w:noWrap/>
            <w:hideMark/>
          </w:tcPr>
          <w:p w14:paraId="6A7E4830"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77.4</w:t>
            </w:r>
          </w:p>
        </w:tc>
        <w:tc>
          <w:tcPr>
            <w:tcW w:w="397" w:type="pct"/>
            <w:noWrap/>
            <w:hideMark/>
          </w:tcPr>
          <w:p w14:paraId="09A4505A"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91.9</w:t>
            </w:r>
          </w:p>
        </w:tc>
        <w:tc>
          <w:tcPr>
            <w:tcW w:w="381" w:type="pct"/>
            <w:noWrap/>
            <w:hideMark/>
          </w:tcPr>
          <w:p w14:paraId="7FAB4A48"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97.8</w:t>
            </w:r>
          </w:p>
        </w:tc>
      </w:tr>
      <w:tr w:rsidR="009A3854" w:rsidRPr="009728CE" w14:paraId="38470C04" w14:textId="77777777" w:rsidTr="009A3854">
        <w:trPr>
          <w:trHeight w:val="320"/>
        </w:trPr>
        <w:tc>
          <w:tcPr>
            <w:tcW w:w="1292" w:type="pct"/>
            <w:noWrap/>
            <w:hideMark/>
          </w:tcPr>
          <w:p w14:paraId="65A042BC" w14:textId="77777777" w:rsidR="009A3854" w:rsidRPr="009A3854" w:rsidRDefault="009A3854" w:rsidP="00DF2669">
            <w:pPr>
              <w:rPr>
                <w:rFonts w:ascii="Calibri" w:eastAsia="Times New Roman" w:hAnsi="Calibri" w:cs="Times New Roman"/>
                <w:b/>
                <w:i/>
                <w:color w:val="000000"/>
              </w:rPr>
            </w:pPr>
            <w:r w:rsidRPr="009A3854">
              <w:rPr>
                <w:rFonts w:ascii="Calibri" w:eastAsia="Times New Roman" w:hAnsi="Calibri" w:cs="Times New Roman"/>
                <w:b/>
                <w:i/>
                <w:color w:val="000000"/>
              </w:rPr>
              <w:t>Edexcel</w:t>
            </w:r>
          </w:p>
        </w:tc>
        <w:tc>
          <w:tcPr>
            <w:tcW w:w="658" w:type="pct"/>
            <w:noWrap/>
            <w:hideMark/>
          </w:tcPr>
          <w:p w14:paraId="502D07B4"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68.0%</w:t>
            </w:r>
          </w:p>
        </w:tc>
        <w:tc>
          <w:tcPr>
            <w:tcW w:w="684" w:type="pct"/>
            <w:noWrap/>
            <w:hideMark/>
          </w:tcPr>
          <w:p w14:paraId="6A8D6353"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9941</w:t>
            </w:r>
          </w:p>
        </w:tc>
        <w:tc>
          <w:tcPr>
            <w:tcW w:w="397" w:type="pct"/>
            <w:noWrap/>
            <w:hideMark/>
          </w:tcPr>
          <w:p w14:paraId="4D284650"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6.6</w:t>
            </w:r>
          </w:p>
        </w:tc>
        <w:tc>
          <w:tcPr>
            <w:tcW w:w="397" w:type="pct"/>
            <w:noWrap/>
            <w:hideMark/>
          </w:tcPr>
          <w:p w14:paraId="1D1E38C4"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27.4</w:t>
            </w:r>
          </w:p>
        </w:tc>
        <w:tc>
          <w:tcPr>
            <w:tcW w:w="397" w:type="pct"/>
            <w:noWrap/>
            <w:hideMark/>
          </w:tcPr>
          <w:p w14:paraId="2B74788B"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56.7</w:t>
            </w:r>
          </w:p>
        </w:tc>
        <w:tc>
          <w:tcPr>
            <w:tcW w:w="397" w:type="pct"/>
            <w:noWrap/>
            <w:hideMark/>
          </w:tcPr>
          <w:p w14:paraId="2E412EF5"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80.7</w:t>
            </w:r>
          </w:p>
        </w:tc>
        <w:tc>
          <w:tcPr>
            <w:tcW w:w="397" w:type="pct"/>
            <w:noWrap/>
            <w:hideMark/>
          </w:tcPr>
          <w:p w14:paraId="15B34B44"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93.4</w:t>
            </w:r>
          </w:p>
        </w:tc>
        <w:tc>
          <w:tcPr>
            <w:tcW w:w="381" w:type="pct"/>
            <w:noWrap/>
            <w:hideMark/>
          </w:tcPr>
          <w:p w14:paraId="1A5B3683"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98.3</w:t>
            </w:r>
          </w:p>
        </w:tc>
      </w:tr>
      <w:tr w:rsidR="009A3854" w:rsidRPr="009728CE" w14:paraId="4158E6EE" w14:textId="77777777" w:rsidTr="009A3854">
        <w:trPr>
          <w:trHeight w:val="320"/>
        </w:trPr>
        <w:tc>
          <w:tcPr>
            <w:tcW w:w="1292" w:type="pct"/>
            <w:noWrap/>
            <w:hideMark/>
          </w:tcPr>
          <w:p w14:paraId="18A4D9C9" w14:textId="77777777" w:rsidR="009A3854" w:rsidRPr="009A3854" w:rsidRDefault="009A3854" w:rsidP="00DF2669">
            <w:pPr>
              <w:rPr>
                <w:rFonts w:ascii="Calibri" w:eastAsia="Times New Roman" w:hAnsi="Calibri" w:cs="Times New Roman"/>
                <w:b/>
                <w:i/>
                <w:color w:val="000000"/>
              </w:rPr>
            </w:pPr>
            <w:r w:rsidRPr="009A3854">
              <w:rPr>
                <w:rFonts w:ascii="Calibri" w:eastAsia="Times New Roman" w:hAnsi="Calibri" w:cs="Times New Roman"/>
                <w:b/>
                <w:i/>
                <w:color w:val="000000"/>
              </w:rPr>
              <w:t>OCR</w:t>
            </w:r>
          </w:p>
        </w:tc>
        <w:tc>
          <w:tcPr>
            <w:tcW w:w="658" w:type="pct"/>
            <w:noWrap/>
            <w:hideMark/>
          </w:tcPr>
          <w:p w14:paraId="0743AFD1"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4.6%</w:t>
            </w:r>
          </w:p>
        </w:tc>
        <w:tc>
          <w:tcPr>
            <w:tcW w:w="684" w:type="pct"/>
            <w:noWrap/>
            <w:hideMark/>
          </w:tcPr>
          <w:p w14:paraId="4ABC9674"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669</w:t>
            </w:r>
          </w:p>
        </w:tc>
        <w:tc>
          <w:tcPr>
            <w:tcW w:w="397" w:type="pct"/>
            <w:noWrap/>
            <w:hideMark/>
          </w:tcPr>
          <w:p w14:paraId="3FE4BC74"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10.5</w:t>
            </w:r>
          </w:p>
        </w:tc>
        <w:tc>
          <w:tcPr>
            <w:tcW w:w="397" w:type="pct"/>
            <w:noWrap/>
            <w:hideMark/>
          </w:tcPr>
          <w:p w14:paraId="451E7F96"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37.0</w:t>
            </w:r>
          </w:p>
        </w:tc>
        <w:tc>
          <w:tcPr>
            <w:tcW w:w="397" w:type="pct"/>
            <w:noWrap/>
            <w:hideMark/>
          </w:tcPr>
          <w:p w14:paraId="3E118857"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60.0</w:t>
            </w:r>
          </w:p>
        </w:tc>
        <w:tc>
          <w:tcPr>
            <w:tcW w:w="397" w:type="pct"/>
            <w:noWrap/>
            <w:hideMark/>
          </w:tcPr>
          <w:p w14:paraId="41A84C32"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80.2</w:t>
            </w:r>
          </w:p>
        </w:tc>
        <w:tc>
          <w:tcPr>
            <w:tcW w:w="397" w:type="pct"/>
            <w:noWrap/>
            <w:hideMark/>
          </w:tcPr>
          <w:p w14:paraId="707FE4CA"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92.9</w:t>
            </w:r>
          </w:p>
        </w:tc>
        <w:tc>
          <w:tcPr>
            <w:tcW w:w="381" w:type="pct"/>
            <w:noWrap/>
            <w:hideMark/>
          </w:tcPr>
          <w:p w14:paraId="75791649"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98.5</w:t>
            </w:r>
          </w:p>
        </w:tc>
      </w:tr>
      <w:tr w:rsidR="009A3854" w:rsidRPr="009728CE" w14:paraId="488E738D" w14:textId="77777777" w:rsidTr="00B74305">
        <w:trPr>
          <w:trHeight w:val="320"/>
        </w:trPr>
        <w:tc>
          <w:tcPr>
            <w:tcW w:w="1292" w:type="pct"/>
            <w:noWrap/>
            <w:hideMark/>
          </w:tcPr>
          <w:p w14:paraId="0AA00E68" w14:textId="77777777" w:rsidR="009A3854" w:rsidRPr="009A3854" w:rsidRDefault="009A3854" w:rsidP="00DF2669">
            <w:pPr>
              <w:rPr>
                <w:rFonts w:ascii="Calibri" w:eastAsia="Times New Roman" w:hAnsi="Calibri" w:cs="Times New Roman"/>
                <w:b/>
                <w:i/>
                <w:color w:val="000000"/>
              </w:rPr>
            </w:pPr>
            <w:r w:rsidRPr="009A3854">
              <w:rPr>
                <w:rFonts w:ascii="Calibri" w:eastAsia="Times New Roman" w:hAnsi="Calibri" w:cs="Times New Roman"/>
                <w:b/>
                <w:i/>
                <w:color w:val="000000"/>
              </w:rPr>
              <w:t>Eduqas / WJEC</w:t>
            </w:r>
          </w:p>
        </w:tc>
        <w:tc>
          <w:tcPr>
            <w:tcW w:w="658" w:type="pct"/>
            <w:noWrap/>
            <w:hideMark/>
          </w:tcPr>
          <w:p w14:paraId="39556C5F"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1.8%</w:t>
            </w:r>
          </w:p>
        </w:tc>
        <w:tc>
          <w:tcPr>
            <w:tcW w:w="684" w:type="pct"/>
            <w:noWrap/>
            <w:hideMark/>
          </w:tcPr>
          <w:p w14:paraId="1D2B4205"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258</w:t>
            </w:r>
          </w:p>
        </w:tc>
        <w:tc>
          <w:tcPr>
            <w:tcW w:w="397" w:type="pct"/>
            <w:tcBorders>
              <w:bottom w:val="single" w:sz="4" w:space="0" w:color="auto"/>
            </w:tcBorders>
            <w:noWrap/>
            <w:hideMark/>
          </w:tcPr>
          <w:p w14:paraId="1F907490"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3.9</w:t>
            </w:r>
          </w:p>
        </w:tc>
        <w:tc>
          <w:tcPr>
            <w:tcW w:w="397" w:type="pct"/>
            <w:tcBorders>
              <w:bottom w:val="single" w:sz="4" w:space="0" w:color="auto"/>
            </w:tcBorders>
            <w:noWrap/>
            <w:hideMark/>
          </w:tcPr>
          <w:p w14:paraId="03D47B61"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27.1</w:t>
            </w:r>
          </w:p>
        </w:tc>
        <w:tc>
          <w:tcPr>
            <w:tcW w:w="397" w:type="pct"/>
            <w:tcBorders>
              <w:bottom w:val="single" w:sz="4" w:space="0" w:color="auto"/>
            </w:tcBorders>
            <w:noWrap/>
            <w:hideMark/>
          </w:tcPr>
          <w:p w14:paraId="098DDB29"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51.9</w:t>
            </w:r>
          </w:p>
        </w:tc>
        <w:tc>
          <w:tcPr>
            <w:tcW w:w="397" w:type="pct"/>
            <w:tcBorders>
              <w:bottom w:val="single" w:sz="4" w:space="0" w:color="auto"/>
            </w:tcBorders>
            <w:noWrap/>
            <w:hideMark/>
          </w:tcPr>
          <w:p w14:paraId="221D59BC"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83.3</w:t>
            </w:r>
          </w:p>
        </w:tc>
        <w:tc>
          <w:tcPr>
            <w:tcW w:w="397" w:type="pct"/>
            <w:tcBorders>
              <w:bottom w:val="single" w:sz="4" w:space="0" w:color="auto"/>
            </w:tcBorders>
            <w:noWrap/>
            <w:hideMark/>
          </w:tcPr>
          <w:p w14:paraId="5B0850B8"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95.3</w:t>
            </w:r>
          </w:p>
        </w:tc>
        <w:tc>
          <w:tcPr>
            <w:tcW w:w="381" w:type="pct"/>
            <w:tcBorders>
              <w:bottom w:val="single" w:sz="4" w:space="0" w:color="auto"/>
            </w:tcBorders>
            <w:noWrap/>
            <w:hideMark/>
          </w:tcPr>
          <w:p w14:paraId="690D915C" w14:textId="77777777" w:rsidR="009A3854" w:rsidRPr="009728CE" w:rsidRDefault="009A3854" w:rsidP="00DF2669">
            <w:pPr>
              <w:jc w:val="right"/>
              <w:rPr>
                <w:rFonts w:ascii="Calibri" w:eastAsia="Times New Roman" w:hAnsi="Calibri" w:cs="Times New Roman"/>
                <w:color w:val="000000"/>
              </w:rPr>
            </w:pPr>
            <w:r w:rsidRPr="009728CE">
              <w:rPr>
                <w:rFonts w:ascii="Calibri" w:eastAsia="Times New Roman" w:hAnsi="Calibri" w:cs="Times New Roman"/>
                <w:color w:val="000000"/>
              </w:rPr>
              <w:t>99.2</w:t>
            </w:r>
          </w:p>
        </w:tc>
      </w:tr>
      <w:tr w:rsidR="009A3854" w:rsidRPr="009728CE" w14:paraId="50BF6FD6" w14:textId="77777777" w:rsidTr="00B74305">
        <w:trPr>
          <w:trHeight w:val="320"/>
        </w:trPr>
        <w:tc>
          <w:tcPr>
            <w:tcW w:w="1292" w:type="pct"/>
            <w:noWrap/>
            <w:hideMark/>
          </w:tcPr>
          <w:p w14:paraId="1BF3CF1A" w14:textId="77777777" w:rsidR="009A3854" w:rsidRPr="009A3854" w:rsidRDefault="009A3854" w:rsidP="00DF2669">
            <w:pPr>
              <w:rPr>
                <w:rFonts w:ascii="Calibri" w:eastAsia="Times New Roman" w:hAnsi="Calibri" w:cs="Times New Roman"/>
                <w:b/>
                <w:color w:val="000000"/>
              </w:rPr>
            </w:pPr>
            <w:r w:rsidRPr="009A3854">
              <w:rPr>
                <w:rFonts w:ascii="Calibri" w:eastAsia="Times New Roman" w:hAnsi="Calibri" w:cs="Times New Roman"/>
                <w:b/>
                <w:color w:val="000000"/>
              </w:rPr>
              <w:t>Total</w:t>
            </w:r>
          </w:p>
        </w:tc>
        <w:tc>
          <w:tcPr>
            <w:tcW w:w="658" w:type="pct"/>
            <w:noWrap/>
            <w:hideMark/>
          </w:tcPr>
          <w:p w14:paraId="735CDAFB" w14:textId="77777777" w:rsidR="009A3854" w:rsidRPr="00B74305" w:rsidRDefault="009A3854" w:rsidP="00DF2669">
            <w:pPr>
              <w:jc w:val="right"/>
              <w:rPr>
                <w:rFonts w:ascii="Calibri" w:eastAsia="Times New Roman" w:hAnsi="Calibri" w:cs="Times New Roman"/>
                <w:b/>
                <w:color w:val="000000"/>
              </w:rPr>
            </w:pPr>
            <w:r w:rsidRPr="00B74305">
              <w:rPr>
                <w:rFonts w:ascii="Calibri" w:eastAsia="Times New Roman" w:hAnsi="Calibri" w:cs="Times New Roman"/>
                <w:b/>
                <w:color w:val="000000"/>
              </w:rPr>
              <w:t>100.0%</w:t>
            </w:r>
          </w:p>
        </w:tc>
        <w:tc>
          <w:tcPr>
            <w:tcW w:w="684" w:type="pct"/>
            <w:noWrap/>
            <w:hideMark/>
          </w:tcPr>
          <w:p w14:paraId="4C49B469" w14:textId="77777777" w:rsidR="009A3854" w:rsidRPr="00B74305" w:rsidRDefault="009A3854" w:rsidP="00DF2669">
            <w:pPr>
              <w:jc w:val="right"/>
              <w:rPr>
                <w:rFonts w:ascii="Calibri" w:eastAsia="Times New Roman" w:hAnsi="Calibri" w:cs="Times New Roman"/>
                <w:b/>
                <w:color w:val="000000"/>
              </w:rPr>
            </w:pPr>
            <w:r w:rsidRPr="00B74305">
              <w:rPr>
                <w:rFonts w:ascii="Calibri" w:eastAsia="Times New Roman" w:hAnsi="Calibri" w:cs="Times New Roman"/>
                <w:b/>
                <w:color w:val="000000"/>
              </w:rPr>
              <w:t>14611</w:t>
            </w:r>
          </w:p>
        </w:tc>
        <w:tc>
          <w:tcPr>
            <w:tcW w:w="2366" w:type="pct"/>
            <w:gridSpan w:val="6"/>
            <w:tcBorders>
              <w:bottom w:val="nil"/>
              <w:right w:val="nil"/>
            </w:tcBorders>
            <w:noWrap/>
            <w:hideMark/>
          </w:tcPr>
          <w:p w14:paraId="429B0945" w14:textId="77777777" w:rsidR="009A3854" w:rsidRPr="009728CE" w:rsidRDefault="009A3854" w:rsidP="00DF2669">
            <w:pPr>
              <w:jc w:val="right"/>
              <w:rPr>
                <w:rFonts w:ascii="Times New Roman" w:eastAsia="Times New Roman" w:hAnsi="Times New Roman" w:cs="Times New Roman"/>
                <w:sz w:val="20"/>
                <w:szCs w:val="20"/>
              </w:rPr>
            </w:pPr>
          </w:p>
        </w:tc>
      </w:tr>
    </w:tbl>
    <w:p w14:paraId="5B32416D" w14:textId="77777777" w:rsidR="00B74305" w:rsidRDefault="00B74305" w:rsidP="00AB4DA6">
      <w:pPr>
        <w:rPr>
          <w:b/>
          <w:sz w:val="24"/>
          <w:szCs w:val="24"/>
        </w:rPr>
      </w:pPr>
    </w:p>
    <w:p w14:paraId="3204E6E3" w14:textId="77777777" w:rsidR="00B74305" w:rsidRPr="00C6670B" w:rsidRDefault="00B74305" w:rsidP="00C6670B">
      <w:pPr>
        <w:pStyle w:val="Heading1"/>
      </w:pPr>
      <w:bookmarkStart w:id="2" w:name="_Toc462324604"/>
      <w:r>
        <w:t>Mandated content</w:t>
      </w:r>
      <w:bookmarkEnd w:id="2"/>
    </w:p>
    <w:p w14:paraId="011A68B6" w14:textId="77777777" w:rsidR="00B74305" w:rsidRDefault="00B74305" w:rsidP="00AB4DA6">
      <w:pPr>
        <w:rPr>
          <w:sz w:val="24"/>
          <w:szCs w:val="24"/>
        </w:rPr>
      </w:pPr>
      <w:r>
        <w:rPr>
          <w:sz w:val="24"/>
          <w:szCs w:val="24"/>
        </w:rPr>
        <w:t xml:space="preserve">The new specifications are not entirely constructed individually by the two awarding bodies. Ofqual has stated a common ‘core’, which must form 60% of the qualification. Awarding bodies are then allowed to develop a further 40%. </w:t>
      </w:r>
      <w:r w:rsidR="00930820">
        <w:rPr>
          <w:sz w:val="24"/>
          <w:szCs w:val="24"/>
        </w:rPr>
        <w:t>Ofqual has also determined the Assessment Objectives and their proportions. You can read the entire Ofqual statement on the common c</w:t>
      </w:r>
      <w:r w:rsidR="0010187E">
        <w:rPr>
          <w:sz w:val="24"/>
          <w:szCs w:val="24"/>
        </w:rPr>
        <w:t>ore in the following two documents:</w:t>
      </w:r>
    </w:p>
    <w:p w14:paraId="6D2FC437" w14:textId="77777777" w:rsidR="00930820" w:rsidRPr="0010187E" w:rsidRDefault="005078C9" w:rsidP="00AB4DA6">
      <w:pPr>
        <w:rPr>
          <w:sz w:val="18"/>
          <w:szCs w:val="18"/>
        </w:rPr>
      </w:pPr>
      <w:hyperlink r:id="rId9" w:history="1">
        <w:r w:rsidR="00930820" w:rsidRPr="0010187E">
          <w:rPr>
            <w:rStyle w:val="Hyperlink"/>
            <w:sz w:val="18"/>
            <w:szCs w:val="18"/>
          </w:rPr>
          <w:t>https://www.gov.uk/government/uploads/system/uploads/attachment_data/file/526474/gce-subject-level-guidance-for-politics.pdf</w:t>
        </w:r>
      </w:hyperlink>
    </w:p>
    <w:p w14:paraId="5C87515D" w14:textId="77777777" w:rsidR="0010187E" w:rsidRDefault="005078C9" w:rsidP="00AB4DA6">
      <w:pPr>
        <w:rPr>
          <w:sz w:val="24"/>
          <w:szCs w:val="24"/>
        </w:rPr>
      </w:pPr>
      <w:hyperlink r:id="rId10" w:history="1">
        <w:r w:rsidR="0010187E" w:rsidRPr="0010187E">
          <w:rPr>
            <w:rStyle w:val="Hyperlink"/>
            <w:sz w:val="18"/>
            <w:szCs w:val="18"/>
          </w:rPr>
          <w:t>https://www.gov.uk/government/uploads/system/uploads/attachment_data/file/526540/gce-subject-level-conditions-and-requirements-for-politics.pdf</w:t>
        </w:r>
      </w:hyperlink>
      <w:r w:rsidR="0010187E">
        <w:rPr>
          <w:sz w:val="24"/>
          <w:szCs w:val="24"/>
        </w:rPr>
        <w:t xml:space="preserve"> </w:t>
      </w:r>
    </w:p>
    <w:p w14:paraId="4E494B01" w14:textId="77777777" w:rsidR="00930820" w:rsidRPr="00C6670B" w:rsidRDefault="00930820" w:rsidP="00AB4DA6">
      <w:pPr>
        <w:rPr>
          <w:sz w:val="24"/>
          <w:szCs w:val="24"/>
        </w:rPr>
      </w:pPr>
      <w:r>
        <w:rPr>
          <w:sz w:val="24"/>
          <w:szCs w:val="24"/>
        </w:rPr>
        <w:t>In this section of the briefing, we’ve set out the clear differences and changes to the Assessment Objectives, as well as the new content.</w:t>
      </w:r>
    </w:p>
    <w:p w14:paraId="6CCF469E" w14:textId="77777777" w:rsidR="00C6670B" w:rsidRDefault="00C6670B">
      <w:pPr>
        <w:rPr>
          <w:b/>
          <w:i/>
          <w:sz w:val="24"/>
          <w:szCs w:val="24"/>
        </w:rPr>
      </w:pPr>
      <w:r>
        <w:rPr>
          <w:b/>
          <w:i/>
          <w:sz w:val="24"/>
          <w:szCs w:val="24"/>
        </w:rPr>
        <w:br w:type="page"/>
      </w:r>
    </w:p>
    <w:p w14:paraId="66D512C2" w14:textId="77777777" w:rsidR="00930820" w:rsidRDefault="00930820" w:rsidP="00AB4DA6">
      <w:pPr>
        <w:rPr>
          <w:b/>
          <w:i/>
          <w:sz w:val="24"/>
          <w:szCs w:val="24"/>
        </w:rPr>
      </w:pPr>
      <w:r>
        <w:rPr>
          <w:b/>
          <w:i/>
          <w:sz w:val="24"/>
          <w:szCs w:val="24"/>
        </w:rPr>
        <w:lastRenderedPageBreak/>
        <w:t>Updated assessment objectives:</w:t>
      </w:r>
    </w:p>
    <w:tbl>
      <w:tblPr>
        <w:tblStyle w:val="TableGrid"/>
        <w:tblW w:w="0" w:type="auto"/>
        <w:tblLook w:val="04A0" w:firstRow="1" w:lastRow="0" w:firstColumn="1" w:lastColumn="0" w:noHBand="0" w:noVBand="1"/>
      </w:tblPr>
      <w:tblGrid>
        <w:gridCol w:w="704"/>
        <w:gridCol w:w="1872"/>
        <w:gridCol w:w="1038"/>
        <w:gridCol w:w="1081"/>
        <w:gridCol w:w="2244"/>
        <w:gridCol w:w="1038"/>
        <w:gridCol w:w="1083"/>
      </w:tblGrid>
      <w:tr w:rsidR="00930820" w:rsidRPr="00930820" w14:paraId="26693AF3" w14:textId="77777777" w:rsidTr="00D462D9">
        <w:tc>
          <w:tcPr>
            <w:tcW w:w="704" w:type="dxa"/>
            <w:shd w:val="clear" w:color="auto" w:fill="92D050"/>
          </w:tcPr>
          <w:p w14:paraId="173D83F5" w14:textId="77777777" w:rsidR="00930820" w:rsidRPr="00930820" w:rsidRDefault="00D462D9" w:rsidP="00D462D9">
            <w:pPr>
              <w:jc w:val="center"/>
              <w:rPr>
                <w:b/>
                <w:sz w:val="24"/>
                <w:szCs w:val="24"/>
              </w:rPr>
            </w:pPr>
            <w:r>
              <w:rPr>
                <w:b/>
                <w:sz w:val="24"/>
                <w:szCs w:val="24"/>
              </w:rPr>
              <w:t>AO</w:t>
            </w:r>
          </w:p>
        </w:tc>
        <w:tc>
          <w:tcPr>
            <w:tcW w:w="1872" w:type="dxa"/>
            <w:shd w:val="clear" w:color="auto" w:fill="92D050"/>
          </w:tcPr>
          <w:p w14:paraId="2DFBFB90" w14:textId="77777777" w:rsidR="00930820" w:rsidRPr="00930820" w:rsidRDefault="00930820" w:rsidP="00AB4DA6">
            <w:pPr>
              <w:rPr>
                <w:b/>
                <w:sz w:val="20"/>
                <w:szCs w:val="20"/>
              </w:rPr>
            </w:pPr>
            <w:r w:rsidRPr="00930820">
              <w:rPr>
                <w:b/>
                <w:sz w:val="20"/>
                <w:szCs w:val="20"/>
              </w:rPr>
              <w:t>OLD meaning</w:t>
            </w:r>
          </w:p>
        </w:tc>
        <w:tc>
          <w:tcPr>
            <w:tcW w:w="1016" w:type="dxa"/>
            <w:shd w:val="clear" w:color="auto" w:fill="92D050"/>
          </w:tcPr>
          <w:p w14:paraId="36EE8793" w14:textId="77777777" w:rsidR="00930820" w:rsidRPr="00930820" w:rsidRDefault="00930820" w:rsidP="00D462D9">
            <w:pPr>
              <w:jc w:val="center"/>
              <w:rPr>
                <w:b/>
                <w:sz w:val="20"/>
                <w:szCs w:val="20"/>
              </w:rPr>
            </w:pPr>
            <w:r w:rsidRPr="00930820">
              <w:rPr>
                <w:b/>
                <w:sz w:val="20"/>
                <w:szCs w:val="20"/>
              </w:rPr>
              <w:t>OLD AS weighting</w:t>
            </w:r>
          </w:p>
        </w:tc>
        <w:tc>
          <w:tcPr>
            <w:tcW w:w="1081" w:type="dxa"/>
            <w:shd w:val="clear" w:color="auto" w:fill="92D050"/>
          </w:tcPr>
          <w:p w14:paraId="77D3D815" w14:textId="77777777" w:rsidR="00930820" w:rsidRPr="00930820" w:rsidRDefault="00930820" w:rsidP="00D462D9">
            <w:pPr>
              <w:jc w:val="center"/>
              <w:rPr>
                <w:b/>
                <w:sz w:val="20"/>
                <w:szCs w:val="20"/>
              </w:rPr>
            </w:pPr>
            <w:r w:rsidRPr="00930820">
              <w:rPr>
                <w:b/>
                <w:sz w:val="20"/>
                <w:szCs w:val="20"/>
              </w:rPr>
              <w:t>OLD A level weighting</w:t>
            </w:r>
          </w:p>
        </w:tc>
        <w:tc>
          <w:tcPr>
            <w:tcW w:w="2244" w:type="dxa"/>
            <w:shd w:val="clear" w:color="auto" w:fill="92D050"/>
          </w:tcPr>
          <w:p w14:paraId="15159AFD" w14:textId="77777777" w:rsidR="00930820" w:rsidRPr="00930820" w:rsidRDefault="00930820" w:rsidP="00AB4DA6">
            <w:pPr>
              <w:rPr>
                <w:b/>
                <w:sz w:val="20"/>
                <w:szCs w:val="20"/>
              </w:rPr>
            </w:pPr>
            <w:r w:rsidRPr="00930820">
              <w:rPr>
                <w:b/>
                <w:sz w:val="20"/>
                <w:szCs w:val="20"/>
              </w:rPr>
              <w:t>NEW meaning</w:t>
            </w:r>
          </w:p>
        </w:tc>
        <w:tc>
          <w:tcPr>
            <w:tcW w:w="1016" w:type="dxa"/>
            <w:shd w:val="clear" w:color="auto" w:fill="92D050"/>
          </w:tcPr>
          <w:p w14:paraId="78E78B09" w14:textId="77777777" w:rsidR="00930820" w:rsidRPr="00930820" w:rsidRDefault="00930820" w:rsidP="00D462D9">
            <w:pPr>
              <w:jc w:val="center"/>
              <w:rPr>
                <w:b/>
                <w:sz w:val="20"/>
                <w:szCs w:val="20"/>
              </w:rPr>
            </w:pPr>
            <w:r w:rsidRPr="00930820">
              <w:rPr>
                <w:b/>
                <w:sz w:val="20"/>
                <w:szCs w:val="20"/>
              </w:rPr>
              <w:t>NEW AS weighting</w:t>
            </w:r>
          </w:p>
        </w:tc>
        <w:tc>
          <w:tcPr>
            <w:tcW w:w="1083" w:type="dxa"/>
            <w:shd w:val="clear" w:color="auto" w:fill="92D050"/>
          </w:tcPr>
          <w:p w14:paraId="65CDE223" w14:textId="77777777" w:rsidR="00930820" w:rsidRPr="00930820" w:rsidRDefault="00930820" w:rsidP="00D462D9">
            <w:pPr>
              <w:jc w:val="center"/>
              <w:rPr>
                <w:b/>
                <w:sz w:val="20"/>
                <w:szCs w:val="20"/>
              </w:rPr>
            </w:pPr>
            <w:r w:rsidRPr="00930820">
              <w:rPr>
                <w:b/>
                <w:sz w:val="20"/>
                <w:szCs w:val="20"/>
              </w:rPr>
              <w:t>NEW A level weighting</w:t>
            </w:r>
          </w:p>
        </w:tc>
      </w:tr>
      <w:tr w:rsidR="00930820" w14:paraId="258CC1C5" w14:textId="77777777" w:rsidTr="00D462D9">
        <w:tc>
          <w:tcPr>
            <w:tcW w:w="704" w:type="dxa"/>
            <w:vAlign w:val="center"/>
          </w:tcPr>
          <w:p w14:paraId="2E0734C6" w14:textId="77777777" w:rsidR="00930820" w:rsidRPr="00930820" w:rsidRDefault="00930820" w:rsidP="00D462D9">
            <w:pPr>
              <w:jc w:val="center"/>
              <w:rPr>
                <w:b/>
                <w:sz w:val="24"/>
                <w:szCs w:val="24"/>
              </w:rPr>
            </w:pPr>
            <w:r w:rsidRPr="00930820">
              <w:rPr>
                <w:b/>
                <w:sz w:val="24"/>
                <w:szCs w:val="24"/>
              </w:rPr>
              <w:t>AO1</w:t>
            </w:r>
          </w:p>
        </w:tc>
        <w:tc>
          <w:tcPr>
            <w:tcW w:w="1872" w:type="dxa"/>
            <w:vAlign w:val="center"/>
          </w:tcPr>
          <w:p w14:paraId="6580681E" w14:textId="77777777" w:rsidR="00930820" w:rsidRPr="000F5F7E" w:rsidRDefault="00D462D9" w:rsidP="00AB4DA6">
            <w:pPr>
              <w:rPr>
                <w:color w:val="808080" w:themeColor="background1" w:themeShade="80"/>
                <w:sz w:val="20"/>
                <w:szCs w:val="20"/>
              </w:rPr>
            </w:pPr>
            <w:r w:rsidRPr="000F5F7E">
              <w:rPr>
                <w:color w:val="808080" w:themeColor="background1" w:themeShade="80"/>
                <w:sz w:val="20"/>
                <w:szCs w:val="20"/>
              </w:rPr>
              <w:t>Demonstrate knowledge and understanding of relevant institutions, processes, political concepts, theories and debates</w:t>
            </w:r>
          </w:p>
        </w:tc>
        <w:tc>
          <w:tcPr>
            <w:tcW w:w="1016" w:type="dxa"/>
            <w:vAlign w:val="center"/>
          </w:tcPr>
          <w:p w14:paraId="0A273F16" w14:textId="77777777" w:rsidR="00930820" w:rsidRPr="000F5F7E" w:rsidRDefault="00D462D9" w:rsidP="00D462D9">
            <w:pPr>
              <w:jc w:val="center"/>
              <w:rPr>
                <w:color w:val="808080" w:themeColor="background1" w:themeShade="80"/>
                <w:sz w:val="20"/>
                <w:szCs w:val="20"/>
              </w:rPr>
            </w:pPr>
            <w:r w:rsidRPr="000F5F7E">
              <w:rPr>
                <w:color w:val="808080" w:themeColor="background1" w:themeShade="80"/>
                <w:sz w:val="20"/>
                <w:szCs w:val="20"/>
              </w:rPr>
              <w:t>50</w:t>
            </w:r>
          </w:p>
        </w:tc>
        <w:tc>
          <w:tcPr>
            <w:tcW w:w="1081" w:type="dxa"/>
            <w:vAlign w:val="center"/>
          </w:tcPr>
          <w:p w14:paraId="1EABEFF5" w14:textId="77777777" w:rsidR="00930820" w:rsidRPr="000F5F7E" w:rsidRDefault="00D462D9" w:rsidP="00D462D9">
            <w:pPr>
              <w:jc w:val="center"/>
              <w:rPr>
                <w:color w:val="808080" w:themeColor="background1" w:themeShade="80"/>
                <w:sz w:val="20"/>
                <w:szCs w:val="20"/>
              </w:rPr>
            </w:pPr>
            <w:r w:rsidRPr="000F5F7E">
              <w:rPr>
                <w:color w:val="808080" w:themeColor="background1" w:themeShade="80"/>
                <w:sz w:val="20"/>
                <w:szCs w:val="20"/>
              </w:rPr>
              <w:t>45 AQA</w:t>
            </w:r>
          </w:p>
          <w:p w14:paraId="45214FFD" w14:textId="77777777" w:rsidR="00D462D9" w:rsidRPr="000F5F7E" w:rsidRDefault="00D462D9" w:rsidP="00D462D9">
            <w:pPr>
              <w:jc w:val="center"/>
              <w:rPr>
                <w:color w:val="808080" w:themeColor="background1" w:themeShade="80"/>
                <w:sz w:val="20"/>
                <w:szCs w:val="20"/>
              </w:rPr>
            </w:pPr>
          </w:p>
          <w:p w14:paraId="2A06696A" w14:textId="77777777" w:rsidR="00D462D9" w:rsidRPr="000F5F7E" w:rsidRDefault="00D462D9" w:rsidP="00D462D9">
            <w:pPr>
              <w:jc w:val="center"/>
              <w:rPr>
                <w:color w:val="808080" w:themeColor="background1" w:themeShade="80"/>
                <w:sz w:val="20"/>
                <w:szCs w:val="20"/>
              </w:rPr>
            </w:pPr>
            <w:r w:rsidRPr="000F5F7E">
              <w:rPr>
                <w:color w:val="808080" w:themeColor="background1" w:themeShade="80"/>
                <w:sz w:val="20"/>
                <w:szCs w:val="20"/>
              </w:rPr>
              <w:t>40 Edexcel</w:t>
            </w:r>
          </w:p>
        </w:tc>
        <w:tc>
          <w:tcPr>
            <w:tcW w:w="2244" w:type="dxa"/>
            <w:vAlign w:val="center"/>
          </w:tcPr>
          <w:p w14:paraId="5306CC71" w14:textId="77777777" w:rsidR="00930820" w:rsidRPr="00930820" w:rsidRDefault="00930820" w:rsidP="00AB4DA6">
            <w:pPr>
              <w:rPr>
                <w:sz w:val="20"/>
                <w:szCs w:val="20"/>
              </w:rPr>
            </w:pPr>
            <w:r w:rsidRPr="00930820">
              <w:rPr>
                <w:sz w:val="20"/>
                <w:szCs w:val="20"/>
              </w:rPr>
              <w:t>Demonstrate knowledge and understanding of political institutions, processes, concepts, theories and issues</w:t>
            </w:r>
          </w:p>
        </w:tc>
        <w:tc>
          <w:tcPr>
            <w:tcW w:w="1016" w:type="dxa"/>
            <w:vAlign w:val="center"/>
          </w:tcPr>
          <w:p w14:paraId="46DDE916" w14:textId="77777777" w:rsidR="00930820" w:rsidRPr="00930820" w:rsidRDefault="00930820" w:rsidP="00D462D9">
            <w:pPr>
              <w:jc w:val="center"/>
              <w:rPr>
                <w:sz w:val="20"/>
                <w:szCs w:val="20"/>
              </w:rPr>
            </w:pPr>
            <w:r>
              <w:rPr>
                <w:sz w:val="20"/>
                <w:szCs w:val="20"/>
              </w:rPr>
              <w:t>40 - 50%</w:t>
            </w:r>
          </w:p>
        </w:tc>
        <w:tc>
          <w:tcPr>
            <w:tcW w:w="1083" w:type="dxa"/>
            <w:vAlign w:val="center"/>
          </w:tcPr>
          <w:p w14:paraId="4A43C942" w14:textId="77777777" w:rsidR="00930820" w:rsidRPr="00930820" w:rsidRDefault="00930820" w:rsidP="00D462D9">
            <w:pPr>
              <w:jc w:val="center"/>
              <w:rPr>
                <w:sz w:val="20"/>
                <w:szCs w:val="20"/>
              </w:rPr>
            </w:pPr>
            <w:r>
              <w:rPr>
                <w:sz w:val="20"/>
                <w:szCs w:val="20"/>
              </w:rPr>
              <w:t>30 - 40%</w:t>
            </w:r>
          </w:p>
        </w:tc>
      </w:tr>
      <w:tr w:rsidR="00930820" w14:paraId="4E94B779" w14:textId="77777777" w:rsidTr="00D462D9">
        <w:tc>
          <w:tcPr>
            <w:tcW w:w="704" w:type="dxa"/>
            <w:vAlign w:val="center"/>
          </w:tcPr>
          <w:p w14:paraId="23F25F69" w14:textId="77777777" w:rsidR="00930820" w:rsidRPr="00930820" w:rsidRDefault="00930820" w:rsidP="00D462D9">
            <w:pPr>
              <w:jc w:val="center"/>
              <w:rPr>
                <w:b/>
                <w:sz w:val="24"/>
                <w:szCs w:val="24"/>
              </w:rPr>
            </w:pPr>
            <w:r w:rsidRPr="00930820">
              <w:rPr>
                <w:b/>
                <w:sz w:val="24"/>
                <w:szCs w:val="24"/>
              </w:rPr>
              <w:t>AO2</w:t>
            </w:r>
          </w:p>
        </w:tc>
        <w:tc>
          <w:tcPr>
            <w:tcW w:w="1872" w:type="dxa"/>
            <w:vAlign w:val="center"/>
          </w:tcPr>
          <w:p w14:paraId="24430581" w14:textId="77777777" w:rsidR="00930820" w:rsidRPr="000F5F7E" w:rsidRDefault="00D462D9" w:rsidP="00AB4DA6">
            <w:pPr>
              <w:rPr>
                <w:color w:val="808080" w:themeColor="background1" w:themeShade="80"/>
                <w:sz w:val="20"/>
                <w:szCs w:val="20"/>
              </w:rPr>
            </w:pPr>
            <w:r w:rsidRPr="000F5F7E">
              <w:rPr>
                <w:color w:val="808080" w:themeColor="background1" w:themeShade="80"/>
                <w:sz w:val="20"/>
                <w:szCs w:val="20"/>
              </w:rPr>
              <w:t>Analyse and evaluate political information, arguments and explanations, and identify parallels, connections, similarities and differences between aspects of the political systems studied</w:t>
            </w:r>
          </w:p>
        </w:tc>
        <w:tc>
          <w:tcPr>
            <w:tcW w:w="1016" w:type="dxa"/>
            <w:vAlign w:val="center"/>
          </w:tcPr>
          <w:p w14:paraId="3A36EED8" w14:textId="77777777" w:rsidR="00930820" w:rsidRPr="000F5F7E" w:rsidRDefault="00D462D9" w:rsidP="00D462D9">
            <w:pPr>
              <w:jc w:val="center"/>
              <w:rPr>
                <w:color w:val="808080" w:themeColor="background1" w:themeShade="80"/>
                <w:sz w:val="20"/>
                <w:szCs w:val="20"/>
              </w:rPr>
            </w:pPr>
            <w:r w:rsidRPr="000F5F7E">
              <w:rPr>
                <w:color w:val="808080" w:themeColor="background1" w:themeShade="80"/>
                <w:sz w:val="20"/>
                <w:szCs w:val="20"/>
              </w:rPr>
              <w:t>30</w:t>
            </w:r>
          </w:p>
        </w:tc>
        <w:tc>
          <w:tcPr>
            <w:tcW w:w="1081" w:type="dxa"/>
            <w:vAlign w:val="center"/>
          </w:tcPr>
          <w:p w14:paraId="6875AB29" w14:textId="77777777" w:rsidR="00930820" w:rsidRPr="000F5F7E" w:rsidRDefault="00D462D9" w:rsidP="00D462D9">
            <w:pPr>
              <w:jc w:val="center"/>
              <w:rPr>
                <w:color w:val="808080" w:themeColor="background1" w:themeShade="80"/>
                <w:sz w:val="20"/>
                <w:szCs w:val="20"/>
              </w:rPr>
            </w:pPr>
            <w:r w:rsidRPr="000F5F7E">
              <w:rPr>
                <w:color w:val="808080" w:themeColor="background1" w:themeShade="80"/>
                <w:sz w:val="20"/>
                <w:szCs w:val="20"/>
              </w:rPr>
              <w:t>35 AQA</w:t>
            </w:r>
          </w:p>
          <w:p w14:paraId="053423CF" w14:textId="77777777" w:rsidR="00D462D9" w:rsidRPr="000F5F7E" w:rsidRDefault="00D462D9" w:rsidP="00D462D9">
            <w:pPr>
              <w:jc w:val="center"/>
              <w:rPr>
                <w:color w:val="808080" w:themeColor="background1" w:themeShade="80"/>
                <w:sz w:val="20"/>
                <w:szCs w:val="20"/>
              </w:rPr>
            </w:pPr>
          </w:p>
          <w:p w14:paraId="3C4E5C7E" w14:textId="77777777" w:rsidR="00D462D9" w:rsidRPr="000F5F7E" w:rsidRDefault="00D462D9" w:rsidP="00D462D9">
            <w:pPr>
              <w:jc w:val="center"/>
              <w:rPr>
                <w:color w:val="808080" w:themeColor="background1" w:themeShade="80"/>
                <w:sz w:val="20"/>
                <w:szCs w:val="20"/>
              </w:rPr>
            </w:pPr>
            <w:r w:rsidRPr="000F5F7E">
              <w:rPr>
                <w:color w:val="808080" w:themeColor="background1" w:themeShade="80"/>
                <w:sz w:val="20"/>
                <w:szCs w:val="20"/>
              </w:rPr>
              <w:t>40 Edexcel</w:t>
            </w:r>
          </w:p>
        </w:tc>
        <w:tc>
          <w:tcPr>
            <w:tcW w:w="2244" w:type="dxa"/>
            <w:vAlign w:val="center"/>
          </w:tcPr>
          <w:p w14:paraId="253F32A1" w14:textId="77777777" w:rsidR="00930820" w:rsidRPr="00930820" w:rsidRDefault="00930820" w:rsidP="00AB4DA6">
            <w:pPr>
              <w:rPr>
                <w:sz w:val="20"/>
                <w:szCs w:val="20"/>
              </w:rPr>
            </w:pPr>
            <w:r w:rsidRPr="00930820">
              <w:rPr>
                <w:sz w:val="20"/>
                <w:szCs w:val="20"/>
              </w:rPr>
              <w:t>Analyse aspects of politics and political information, including in relation to parallels, connections, similarities and differences</w:t>
            </w:r>
          </w:p>
        </w:tc>
        <w:tc>
          <w:tcPr>
            <w:tcW w:w="1016" w:type="dxa"/>
            <w:vAlign w:val="center"/>
          </w:tcPr>
          <w:p w14:paraId="048610B3" w14:textId="77777777" w:rsidR="00930820" w:rsidRPr="00930820" w:rsidRDefault="00930820" w:rsidP="00D462D9">
            <w:pPr>
              <w:jc w:val="center"/>
              <w:rPr>
                <w:sz w:val="20"/>
                <w:szCs w:val="20"/>
              </w:rPr>
            </w:pPr>
            <w:r>
              <w:rPr>
                <w:sz w:val="20"/>
                <w:szCs w:val="20"/>
              </w:rPr>
              <w:t>30 – 40%</w:t>
            </w:r>
          </w:p>
        </w:tc>
        <w:tc>
          <w:tcPr>
            <w:tcW w:w="1083" w:type="dxa"/>
            <w:vAlign w:val="center"/>
          </w:tcPr>
          <w:p w14:paraId="263B5E13" w14:textId="77777777" w:rsidR="00930820" w:rsidRPr="00930820" w:rsidRDefault="00930820" w:rsidP="00D462D9">
            <w:pPr>
              <w:jc w:val="center"/>
              <w:rPr>
                <w:sz w:val="20"/>
                <w:szCs w:val="20"/>
              </w:rPr>
            </w:pPr>
            <w:r>
              <w:rPr>
                <w:sz w:val="20"/>
                <w:szCs w:val="20"/>
              </w:rPr>
              <w:t>35 – 45%</w:t>
            </w:r>
          </w:p>
        </w:tc>
      </w:tr>
      <w:tr w:rsidR="00930820" w14:paraId="7D098FC5" w14:textId="77777777" w:rsidTr="00D462D9">
        <w:tc>
          <w:tcPr>
            <w:tcW w:w="704" w:type="dxa"/>
            <w:vAlign w:val="center"/>
          </w:tcPr>
          <w:p w14:paraId="3A4F7C1E" w14:textId="77777777" w:rsidR="00930820" w:rsidRPr="00930820" w:rsidRDefault="00930820" w:rsidP="00D462D9">
            <w:pPr>
              <w:jc w:val="center"/>
              <w:rPr>
                <w:b/>
                <w:sz w:val="24"/>
                <w:szCs w:val="24"/>
              </w:rPr>
            </w:pPr>
            <w:r w:rsidRPr="00930820">
              <w:rPr>
                <w:b/>
                <w:sz w:val="24"/>
                <w:szCs w:val="24"/>
              </w:rPr>
              <w:t>AO3</w:t>
            </w:r>
          </w:p>
        </w:tc>
        <w:tc>
          <w:tcPr>
            <w:tcW w:w="1872" w:type="dxa"/>
            <w:vAlign w:val="center"/>
          </w:tcPr>
          <w:p w14:paraId="1659589A" w14:textId="77777777" w:rsidR="00930820" w:rsidRPr="000F5F7E" w:rsidRDefault="00D462D9" w:rsidP="00AB4DA6">
            <w:pPr>
              <w:rPr>
                <w:color w:val="808080" w:themeColor="background1" w:themeShade="80"/>
                <w:sz w:val="20"/>
                <w:szCs w:val="20"/>
              </w:rPr>
            </w:pPr>
            <w:r w:rsidRPr="000F5F7E">
              <w:rPr>
                <w:color w:val="808080" w:themeColor="background1" w:themeShade="80"/>
                <w:sz w:val="20"/>
                <w:szCs w:val="20"/>
              </w:rPr>
              <w:t>Construct and communicate coherent arguments making use of a range of appropriate political vocabulary</w:t>
            </w:r>
          </w:p>
        </w:tc>
        <w:tc>
          <w:tcPr>
            <w:tcW w:w="1016" w:type="dxa"/>
            <w:vAlign w:val="center"/>
          </w:tcPr>
          <w:p w14:paraId="7CA8CD48" w14:textId="77777777" w:rsidR="00930820" w:rsidRPr="000F5F7E" w:rsidRDefault="00D462D9" w:rsidP="00D462D9">
            <w:pPr>
              <w:jc w:val="center"/>
              <w:rPr>
                <w:color w:val="808080" w:themeColor="background1" w:themeShade="80"/>
                <w:sz w:val="20"/>
                <w:szCs w:val="20"/>
              </w:rPr>
            </w:pPr>
            <w:r w:rsidRPr="000F5F7E">
              <w:rPr>
                <w:color w:val="808080" w:themeColor="background1" w:themeShade="80"/>
                <w:sz w:val="20"/>
                <w:szCs w:val="20"/>
              </w:rPr>
              <w:t>20</w:t>
            </w:r>
          </w:p>
        </w:tc>
        <w:tc>
          <w:tcPr>
            <w:tcW w:w="1081" w:type="dxa"/>
            <w:vAlign w:val="center"/>
          </w:tcPr>
          <w:p w14:paraId="72D82BFA" w14:textId="77777777" w:rsidR="00930820" w:rsidRPr="000F5F7E" w:rsidRDefault="00D462D9" w:rsidP="00D462D9">
            <w:pPr>
              <w:jc w:val="center"/>
              <w:rPr>
                <w:color w:val="808080" w:themeColor="background1" w:themeShade="80"/>
                <w:sz w:val="20"/>
                <w:szCs w:val="20"/>
              </w:rPr>
            </w:pPr>
            <w:r w:rsidRPr="000F5F7E">
              <w:rPr>
                <w:color w:val="808080" w:themeColor="background1" w:themeShade="80"/>
                <w:sz w:val="20"/>
                <w:szCs w:val="20"/>
              </w:rPr>
              <w:t>20 AQA and Edexcel</w:t>
            </w:r>
          </w:p>
        </w:tc>
        <w:tc>
          <w:tcPr>
            <w:tcW w:w="2244" w:type="dxa"/>
            <w:vAlign w:val="center"/>
          </w:tcPr>
          <w:p w14:paraId="6A1C1A84" w14:textId="77777777" w:rsidR="00930820" w:rsidRPr="00D462D9" w:rsidRDefault="00D462D9" w:rsidP="00AB4DA6">
            <w:pPr>
              <w:rPr>
                <w:sz w:val="20"/>
                <w:szCs w:val="20"/>
              </w:rPr>
            </w:pPr>
            <w:r w:rsidRPr="00D462D9">
              <w:rPr>
                <w:sz w:val="20"/>
                <w:szCs w:val="20"/>
              </w:rPr>
              <w:t>Evaluate aspects of politics and political information, including to construct arguments, make substantiated judgements and draw conclusions</w:t>
            </w:r>
          </w:p>
        </w:tc>
        <w:tc>
          <w:tcPr>
            <w:tcW w:w="1016" w:type="dxa"/>
            <w:vAlign w:val="center"/>
          </w:tcPr>
          <w:p w14:paraId="53322E2B" w14:textId="77777777" w:rsidR="00930820" w:rsidRPr="00930820" w:rsidRDefault="00D462D9" w:rsidP="00D462D9">
            <w:pPr>
              <w:jc w:val="center"/>
              <w:rPr>
                <w:sz w:val="20"/>
                <w:szCs w:val="20"/>
              </w:rPr>
            </w:pPr>
            <w:r>
              <w:rPr>
                <w:sz w:val="20"/>
                <w:szCs w:val="20"/>
              </w:rPr>
              <w:t>20 – 30%</w:t>
            </w:r>
          </w:p>
        </w:tc>
        <w:tc>
          <w:tcPr>
            <w:tcW w:w="1083" w:type="dxa"/>
            <w:vAlign w:val="center"/>
          </w:tcPr>
          <w:p w14:paraId="4721F6E5" w14:textId="77777777" w:rsidR="00930820" w:rsidRPr="00930820" w:rsidRDefault="00D462D9" w:rsidP="00D462D9">
            <w:pPr>
              <w:jc w:val="center"/>
              <w:rPr>
                <w:sz w:val="20"/>
                <w:szCs w:val="20"/>
              </w:rPr>
            </w:pPr>
            <w:r>
              <w:rPr>
                <w:sz w:val="20"/>
                <w:szCs w:val="20"/>
              </w:rPr>
              <w:t>25 – 35%</w:t>
            </w:r>
          </w:p>
        </w:tc>
      </w:tr>
    </w:tbl>
    <w:p w14:paraId="72DD7DF0" w14:textId="77777777" w:rsidR="00930820" w:rsidRPr="00930820" w:rsidRDefault="00930820" w:rsidP="00AB4DA6">
      <w:pPr>
        <w:rPr>
          <w:sz w:val="24"/>
          <w:szCs w:val="24"/>
        </w:rPr>
      </w:pPr>
    </w:p>
    <w:p w14:paraId="36354651" w14:textId="77777777" w:rsidR="00D462D9" w:rsidRDefault="00D462D9" w:rsidP="00AB4DA6">
      <w:pPr>
        <w:rPr>
          <w:sz w:val="24"/>
          <w:szCs w:val="24"/>
        </w:rPr>
      </w:pPr>
      <w:r>
        <w:rPr>
          <w:sz w:val="24"/>
          <w:szCs w:val="24"/>
        </w:rPr>
        <w:t xml:space="preserve">Clearly the biggest change in terms of Assessment Objectives is the separate of “analysis” and “evaluation” into AO2 and AO3, marking a clear change in the assessment of Politics. This is likely to be a significant improvement over the old specifications, since the old AO3 was often regarded as too subjective. </w:t>
      </w:r>
    </w:p>
    <w:p w14:paraId="34D75B15" w14:textId="77777777" w:rsidR="00B74305" w:rsidRPr="00D462D9" w:rsidRDefault="00D462D9" w:rsidP="00AB4DA6">
      <w:pPr>
        <w:rPr>
          <w:sz w:val="24"/>
          <w:szCs w:val="24"/>
        </w:rPr>
      </w:pPr>
      <w:r>
        <w:rPr>
          <w:sz w:val="24"/>
          <w:szCs w:val="24"/>
        </w:rPr>
        <w:t xml:space="preserve">It is </w:t>
      </w:r>
      <w:r>
        <w:rPr>
          <w:b/>
          <w:sz w:val="24"/>
          <w:szCs w:val="24"/>
        </w:rPr>
        <w:t>important to note</w:t>
      </w:r>
      <w:r>
        <w:rPr>
          <w:sz w:val="24"/>
          <w:szCs w:val="24"/>
        </w:rPr>
        <w:t xml:space="preserve"> that the Ofqual guidance on Assessment Objectives requires that no more than 10% of the total mark for the paper can be awarded for “knowledge in isolation”. In other words, if students simply provide definitions of key terms or recall other facts/pieces of knowledge, then they cannot access all AO1 marks. The remainder of the AO1 marks </w:t>
      </w:r>
      <w:r>
        <w:rPr>
          <w:b/>
          <w:sz w:val="24"/>
          <w:szCs w:val="24"/>
        </w:rPr>
        <w:t>must</w:t>
      </w:r>
      <w:r>
        <w:rPr>
          <w:sz w:val="24"/>
          <w:szCs w:val="24"/>
        </w:rPr>
        <w:t xml:space="preserve"> come from selecting the right knowledge for evidencing an argument, or for applying knowledge in </w:t>
      </w:r>
      <w:r w:rsidRPr="00D462D9">
        <w:rPr>
          <w:sz w:val="24"/>
          <w:szCs w:val="24"/>
        </w:rPr>
        <w:t>a particular context.</w:t>
      </w:r>
    </w:p>
    <w:p w14:paraId="44CDFD4F" w14:textId="77777777" w:rsidR="00D462D9" w:rsidRPr="00D462D9" w:rsidRDefault="00D462D9" w:rsidP="00AB4DA6">
      <w:pPr>
        <w:rPr>
          <w:sz w:val="24"/>
          <w:szCs w:val="24"/>
        </w:rPr>
      </w:pPr>
      <w:r w:rsidRPr="00D462D9">
        <w:rPr>
          <w:sz w:val="24"/>
          <w:szCs w:val="24"/>
        </w:rPr>
        <w:t xml:space="preserve">Ofqual has also given guidance on how teachers and students should interpret the word ‘analyse’ for AO2. </w:t>
      </w:r>
      <w:r w:rsidRPr="00D462D9">
        <w:rPr>
          <w:b/>
          <w:sz w:val="24"/>
          <w:szCs w:val="24"/>
        </w:rPr>
        <w:t>Analysis</w:t>
      </w:r>
      <w:r w:rsidRPr="00D462D9">
        <w:rPr>
          <w:sz w:val="24"/>
          <w:szCs w:val="24"/>
        </w:rPr>
        <w:t>, here, means deconstructing ideas and/or information and/or evidence to find connections and provide logical chains of reasoning. Similarly, for AO3, ‘</w:t>
      </w:r>
      <w:r w:rsidRPr="00D462D9">
        <w:rPr>
          <w:b/>
          <w:sz w:val="24"/>
          <w:szCs w:val="24"/>
        </w:rPr>
        <w:t>evaluate</w:t>
      </w:r>
      <w:r w:rsidRPr="00D462D9">
        <w:rPr>
          <w:sz w:val="24"/>
          <w:szCs w:val="24"/>
        </w:rPr>
        <w:t>’ means appraising and/or ascribing value to information and/or issues.</w:t>
      </w:r>
    </w:p>
    <w:p w14:paraId="2D7BA0E2" w14:textId="77777777" w:rsidR="00AB4DA6" w:rsidRDefault="00AB4DA6" w:rsidP="00AB4DA6">
      <w:pPr>
        <w:rPr>
          <w:b/>
          <w:sz w:val="24"/>
          <w:szCs w:val="24"/>
        </w:rPr>
      </w:pPr>
    </w:p>
    <w:p w14:paraId="7AD7C821" w14:textId="77777777" w:rsidR="0010187E" w:rsidRDefault="008606ED" w:rsidP="00AB4DA6">
      <w:pPr>
        <w:rPr>
          <w:b/>
          <w:i/>
          <w:sz w:val="24"/>
          <w:szCs w:val="24"/>
        </w:rPr>
      </w:pPr>
      <w:r>
        <w:rPr>
          <w:b/>
          <w:i/>
          <w:sz w:val="24"/>
          <w:szCs w:val="24"/>
        </w:rPr>
        <w:lastRenderedPageBreak/>
        <w:t>Additions to the specifications</w:t>
      </w:r>
    </w:p>
    <w:p w14:paraId="43258583" w14:textId="77777777" w:rsidR="0054051C" w:rsidRDefault="0010187E" w:rsidP="00AB4DA6">
      <w:pPr>
        <w:rPr>
          <w:sz w:val="24"/>
          <w:szCs w:val="24"/>
        </w:rPr>
      </w:pPr>
      <w:r>
        <w:rPr>
          <w:sz w:val="24"/>
          <w:szCs w:val="24"/>
        </w:rPr>
        <w:t>There are some ‘broad brush’ themes in terms of the overall picture of changes to the Politics specifications. Firstly, there is greater emphasis on comparative analysis of historical and contemporary political events/situations – this has led the awarding bodies to be very specific about the dates, people and events that students must know. Secondly, there is a compulsory element of political ideologies – some are required, others are optional.</w:t>
      </w:r>
      <w:r w:rsidR="0054051C">
        <w:rPr>
          <w:sz w:val="24"/>
          <w:szCs w:val="24"/>
        </w:rPr>
        <w:t xml:space="preserve"> The most significant changes are in relation to the second year content</w:t>
      </w:r>
      <w:r w:rsidR="000F5F7E">
        <w:rPr>
          <w:sz w:val="24"/>
          <w:szCs w:val="24"/>
        </w:rPr>
        <w:t xml:space="preserve"> – these changes may be greater for some centres, depending on which options they have previously taught</w:t>
      </w:r>
      <w:r w:rsidR="0054051C">
        <w:rPr>
          <w:sz w:val="24"/>
          <w:szCs w:val="24"/>
        </w:rPr>
        <w:t xml:space="preserve">. </w:t>
      </w:r>
    </w:p>
    <w:tbl>
      <w:tblPr>
        <w:tblStyle w:val="TableGrid"/>
        <w:tblW w:w="9539" w:type="dxa"/>
        <w:tblInd w:w="-46" w:type="dxa"/>
        <w:tblLayout w:type="fixed"/>
        <w:tblLook w:val="04A0" w:firstRow="1" w:lastRow="0" w:firstColumn="1" w:lastColumn="0" w:noHBand="0" w:noVBand="1"/>
      </w:tblPr>
      <w:tblGrid>
        <w:gridCol w:w="1308"/>
        <w:gridCol w:w="8231"/>
      </w:tblGrid>
      <w:tr w:rsidR="0010187E" w14:paraId="48C2787C" w14:textId="77777777" w:rsidTr="00C6670B">
        <w:tc>
          <w:tcPr>
            <w:tcW w:w="1308" w:type="dxa"/>
            <w:shd w:val="clear" w:color="auto" w:fill="00B0F0"/>
          </w:tcPr>
          <w:p w14:paraId="117FBF3F" w14:textId="77777777" w:rsidR="0010187E" w:rsidRPr="000F5F7E" w:rsidRDefault="0010187E" w:rsidP="00AB4DA6">
            <w:pPr>
              <w:rPr>
                <w:b/>
                <w:sz w:val="24"/>
                <w:szCs w:val="24"/>
              </w:rPr>
            </w:pPr>
            <w:r w:rsidRPr="000F5F7E">
              <w:rPr>
                <w:b/>
                <w:sz w:val="24"/>
                <w:szCs w:val="24"/>
              </w:rPr>
              <w:t>Body</w:t>
            </w:r>
          </w:p>
        </w:tc>
        <w:tc>
          <w:tcPr>
            <w:tcW w:w="8231" w:type="dxa"/>
            <w:shd w:val="clear" w:color="auto" w:fill="00B0F0"/>
          </w:tcPr>
          <w:p w14:paraId="6CD88064" w14:textId="77777777" w:rsidR="0010187E" w:rsidRPr="0010187E" w:rsidRDefault="0010187E" w:rsidP="00AB4DA6">
            <w:pPr>
              <w:rPr>
                <w:b/>
                <w:sz w:val="24"/>
                <w:szCs w:val="24"/>
              </w:rPr>
            </w:pPr>
            <w:r w:rsidRPr="0010187E">
              <w:rPr>
                <w:b/>
                <w:sz w:val="24"/>
                <w:szCs w:val="24"/>
              </w:rPr>
              <w:t>Addition</w:t>
            </w:r>
            <w:r>
              <w:rPr>
                <w:b/>
                <w:sz w:val="24"/>
                <w:szCs w:val="24"/>
              </w:rPr>
              <w:t xml:space="preserve"> to AS Politics</w:t>
            </w:r>
            <w:r w:rsidR="0054051C">
              <w:rPr>
                <w:b/>
                <w:sz w:val="24"/>
                <w:szCs w:val="24"/>
              </w:rPr>
              <w:t xml:space="preserve"> (UK Politics)</w:t>
            </w:r>
          </w:p>
        </w:tc>
      </w:tr>
      <w:tr w:rsidR="0010187E" w14:paraId="2F6AC5DC" w14:textId="77777777" w:rsidTr="00C6670B">
        <w:tc>
          <w:tcPr>
            <w:tcW w:w="1308" w:type="dxa"/>
          </w:tcPr>
          <w:p w14:paraId="67950622" w14:textId="77777777" w:rsidR="0010187E" w:rsidRPr="0005322E" w:rsidRDefault="0010187E" w:rsidP="00AB4DA6">
            <w:pPr>
              <w:rPr>
                <w:sz w:val="18"/>
                <w:szCs w:val="18"/>
              </w:rPr>
            </w:pPr>
            <w:r w:rsidRPr="0005322E">
              <w:rPr>
                <w:sz w:val="18"/>
                <w:szCs w:val="18"/>
              </w:rPr>
              <w:t>Ofqual</w:t>
            </w:r>
          </w:p>
        </w:tc>
        <w:tc>
          <w:tcPr>
            <w:tcW w:w="8231" w:type="dxa"/>
          </w:tcPr>
          <w:p w14:paraId="5B19456E" w14:textId="77777777" w:rsidR="0010187E" w:rsidRDefault="0010187E" w:rsidP="0010187E">
            <w:pPr>
              <w:pStyle w:val="ListParagraph"/>
              <w:numPr>
                <w:ilvl w:val="0"/>
                <w:numId w:val="2"/>
              </w:numPr>
              <w:rPr>
                <w:sz w:val="20"/>
                <w:szCs w:val="20"/>
              </w:rPr>
            </w:pPr>
            <w:r>
              <w:rPr>
                <w:sz w:val="20"/>
                <w:szCs w:val="20"/>
              </w:rPr>
              <w:t>The debate over further reform to the UK’s constitution</w:t>
            </w:r>
          </w:p>
          <w:p w14:paraId="73896932" w14:textId="77777777" w:rsidR="0010187E" w:rsidRDefault="0010187E" w:rsidP="0010187E">
            <w:pPr>
              <w:pStyle w:val="ListParagraph"/>
              <w:numPr>
                <w:ilvl w:val="0"/>
                <w:numId w:val="2"/>
              </w:numPr>
              <w:rPr>
                <w:sz w:val="20"/>
                <w:szCs w:val="20"/>
              </w:rPr>
            </w:pPr>
            <w:r>
              <w:rPr>
                <w:sz w:val="20"/>
                <w:szCs w:val="20"/>
              </w:rPr>
              <w:t>The power of the PM and Cabinet to dictate events and policy making with specific examples from 1945-1997 and post-1997</w:t>
            </w:r>
          </w:p>
          <w:p w14:paraId="79959401" w14:textId="77777777" w:rsidR="00232C7D" w:rsidRDefault="00232C7D" w:rsidP="0010187E">
            <w:pPr>
              <w:pStyle w:val="ListParagraph"/>
              <w:numPr>
                <w:ilvl w:val="0"/>
                <w:numId w:val="2"/>
              </w:numPr>
              <w:rPr>
                <w:sz w:val="20"/>
                <w:szCs w:val="20"/>
              </w:rPr>
            </w:pPr>
            <w:r>
              <w:rPr>
                <w:sz w:val="20"/>
                <w:szCs w:val="20"/>
              </w:rPr>
              <w:t>Theories of representation</w:t>
            </w:r>
          </w:p>
          <w:p w14:paraId="7A5BD97B" w14:textId="77777777" w:rsidR="0010187E" w:rsidRDefault="0010187E" w:rsidP="0010187E">
            <w:pPr>
              <w:pStyle w:val="ListParagraph"/>
              <w:numPr>
                <w:ilvl w:val="0"/>
                <w:numId w:val="2"/>
              </w:numPr>
              <w:rPr>
                <w:sz w:val="20"/>
                <w:szCs w:val="20"/>
              </w:rPr>
            </w:pPr>
            <w:r>
              <w:rPr>
                <w:sz w:val="20"/>
                <w:szCs w:val="20"/>
              </w:rPr>
              <w:t xml:space="preserve">The importance of </w:t>
            </w:r>
            <w:r>
              <w:rPr>
                <w:i/>
                <w:sz w:val="20"/>
                <w:szCs w:val="20"/>
              </w:rPr>
              <w:t>ultra vires</w:t>
            </w:r>
            <w:r>
              <w:rPr>
                <w:sz w:val="20"/>
                <w:szCs w:val="20"/>
              </w:rPr>
              <w:t xml:space="preserve"> with respect to the Supreme Court</w:t>
            </w:r>
          </w:p>
          <w:p w14:paraId="30B32BE9" w14:textId="77777777" w:rsidR="0010187E" w:rsidRDefault="0010187E" w:rsidP="0010187E">
            <w:pPr>
              <w:pStyle w:val="ListParagraph"/>
              <w:numPr>
                <w:ilvl w:val="0"/>
                <w:numId w:val="2"/>
              </w:numPr>
              <w:rPr>
                <w:sz w:val="20"/>
                <w:szCs w:val="20"/>
              </w:rPr>
            </w:pPr>
            <w:r>
              <w:rPr>
                <w:sz w:val="20"/>
                <w:szCs w:val="20"/>
              </w:rPr>
              <w:t>The impact of devolution in terms of Scotland, Northern Ireland, Wales and England</w:t>
            </w:r>
          </w:p>
          <w:p w14:paraId="64A85698" w14:textId="77777777" w:rsidR="0010187E" w:rsidRDefault="0010187E" w:rsidP="0010187E">
            <w:pPr>
              <w:pStyle w:val="ListParagraph"/>
              <w:numPr>
                <w:ilvl w:val="0"/>
                <w:numId w:val="2"/>
              </w:numPr>
              <w:rPr>
                <w:sz w:val="20"/>
                <w:szCs w:val="20"/>
              </w:rPr>
            </w:pPr>
            <w:r>
              <w:rPr>
                <w:sz w:val="20"/>
                <w:szCs w:val="20"/>
              </w:rPr>
              <w:t>The historical development of suffrage from the Reform Act 1832 with respect particularly to gender and ethnicity</w:t>
            </w:r>
          </w:p>
          <w:p w14:paraId="290EF3F7" w14:textId="77777777" w:rsidR="0010187E" w:rsidRDefault="0010187E" w:rsidP="0010187E">
            <w:pPr>
              <w:pStyle w:val="ListParagraph"/>
              <w:numPr>
                <w:ilvl w:val="0"/>
                <w:numId w:val="2"/>
              </w:numPr>
              <w:rPr>
                <w:sz w:val="20"/>
                <w:szCs w:val="20"/>
              </w:rPr>
            </w:pPr>
            <w:r>
              <w:rPr>
                <w:sz w:val="20"/>
                <w:szCs w:val="20"/>
              </w:rPr>
              <w:t>Knowledge, in detail, of two different pressure groups</w:t>
            </w:r>
          </w:p>
          <w:p w14:paraId="3DB2100A" w14:textId="77777777" w:rsidR="0010187E" w:rsidRDefault="0010187E" w:rsidP="0010187E">
            <w:pPr>
              <w:pStyle w:val="ListParagraph"/>
              <w:numPr>
                <w:ilvl w:val="0"/>
                <w:numId w:val="2"/>
              </w:numPr>
              <w:rPr>
                <w:sz w:val="20"/>
                <w:szCs w:val="20"/>
              </w:rPr>
            </w:pPr>
            <w:r>
              <w:rPr>
                <w:sz w:val="20"/>
                <w:szCs w:val="20"/>
              </w:rPr>
              <w:t>Influences on government and parliament including pressure groups, corporations, media, lobbyists and think tanks</w:t>
            </w:r>
          </w:p>
          <w:p w14:paraId="731E2A25" w14:textId="77777777" w:rsidR="0010187E" w:rsidRDefault="0010187E" w:rsidP="0010187E">
            <w:pPr>
              <w:pStyle w:val="ListParagraph"/>
              <w:numPr>
                <w:ilvl w:val="0"/>
                <w:numId w:val="2"/>
              </w:numPr>
              <w:rPr>
                <w:sz w:val="20"/>
                <w:szCs w:val="20"/>
              </w:rPr>
            </w:pPr>
            <w:r>
              <w:rPr>
                <w:sz w:val="20"/>
                <w:szCs w:val="20"/>
              </w:rPr>
              <w:t>Conflict between individual and collective rights</w:t>
            </w:r>
          </w:p>
          <w:p w14:paraId="6743B776" w14:textId="77777777" w:rsidR="0010187E" w:rsidRDefault="0010187E" w:rsidP="0010187E">
            <w:pPr>
              <w:pStyle w:val="ListParagraph"/>
              <w:numPr>
                <w:ilvl w:val="0"/>
                <w:numId w:val="2"/>
              </w:numPr>
              <w:rPr>
                <w:sz w:val="20"/>
                <w:szCs w:val="20"/>
              </w:rPr>
            </w:pPr>
            <w:r>
              <w:rPr>
                <w:sz w:val="20"/>
                <w:szCs w:val="20"/>
              </w:rPr>
              <w:t>In depth knowledge of three influential general elections (pre 1997, 1997 and post 1997)</w:t>
            </w:r>
          </w:p>
          <w:p w14:paraId="2BE22AF8" w14:textId="77777777" w:rsidR="0010187E" w:rsidRDefault="0010187E" w:rsidP="0010187E">
            <w:pPr>
              <w:pStyle w:val="ListParagraph"/>
              <w:numPr>
                <w:ilvl w:val="0"/>
                <w:numId w:val="2"/>
              </w:numPr>
              <w:rPr>
                <w:sz w:val="20"/>
                <w:szCs w:val="20"/>
              </w:rPr>
            </w:pPr>
            <w:r>
              <w:rPr>
                <w:sz w:val="20"/>
                <w:szCs w:val="20"/>
              </w:rPr>
              <w:t>Comparison of UK general elections with elections to at least one devolved body</w:t>
            </w:r>
          </w:p>
          <w:p w14:paraId="1E9744A9" w14:textId="77777777" w:rsidR="0010187E" w:rsidRDefault="0010187E" w:rsidP="0010187E">
            <w:pPr>
              <w:pStyle w:val="ListParagraph"/>
              <w:numPr>
                <w:ilvl w:val="0"/>
                <w:numId w:val="2"/>
              </w:numPr>
              <w:rPr>
                <w:sz w:val="20"/>
                <w:szCs w:val="20"/>
              </w:rPr>
            </w:pPr>
            <w:r>
              <w:rPr>
                <w:sz w:val="20"/>
                <w:szCs w:val="20"/>
              </w:rPr>
              <w:t>The influence of the media on election outcomes</w:t>
            </w:r>
          </w:p>
          <w:p w14:paraId="2C31D5B2" w14:textId="77777777" w:rsidR="0010187E" w:rsidRDefault="0010187E" w:rsidP="0010187E">
            <w:pPr>
              <w:pStyle w:val="ListParagraph"/>
              <w:numPr>
                <w:ilvl w:val="0"/>
                <w:numId w:val="2"/>
              </w:numPr>
              <w:rPr>
                <w:sz w:val="20"/>
                <w:szCs w:val="20"/>
              </w:rPr>
            </w:pPr>
            <w:r>
              <w:rPr>
                <w:sz w:val="20"/>
                <w:szCs w:val="20"/>
              </w:rPr>
              <w:t>The impact of election results on the party and the country as a whole</w:t>
            </w:r>
          </w:p>
          <w:p w14:paraId="0EDFE063" w14:textId="77777777" w:rsidR="0010187E" w:rsidRDefault="0010187E" w:rsidP="0010187E">
            <w:pPr>
              <w:pStyle w:val="ListParagraph"/>
              <w:numPr>
                <w:ilvl w:val="0"/>
                <w:numId w:val="2"/>
              </w:numPr>
              <w:rPr>
                <w:sz w:val="20"/>
                <w:szCs w:val="20"/>
              </w:rPr>
            </w:pPr>
            <w:r>
              <w:rPr>
                <w:sz w:val="20"/>
                <w:szCs w:val="20"/>
              </w:rPr>
              <w:t>Origins and historical development of the Conservatives, Labour and Lib Dems</w:t>
            </w:r>
          </w:p>
          <w:p w14:paraId="3DAFFDD2" w14:textId="77777777" w:rsidR="0010187E" w:rsidRPr="0010187E" w:rsidRDefault="0010187E" w:rsidP="0010187E">
            <w:pPr>
              <w:pStyle w:val="ListParagraph"/>
              <w:numPr>
                <w:ilvl w:val="0"/>
                <w:numId w:val="2"/>
              </w:numPr>
              <w:rPr>
                <w:sz w:val="20"/>
                <w:szCs w:val="20"/>
              </w:rPr>
            </w:pPr>
            <w:r w:rsidRPr="0010187E">
              <w:rPr>
                <w:sz w:val="20"/>
                <w:szCs w:val="20"/>
              </w:rPr>
              <w:t>The development of a multi-party system in the UK including minority parties</w:t>
            </w:r>
          </w:p>
          <w:p w14:paraId="23A9428C" w14:textId="77777777" w:rsidR="0005322E" w:rsidRPr="0005322E" w:rsidRDefault="0010187E" w:rsidP="0005322E">
            <w:pPr>
              <w:pStyle w:val="ListParagraph"/>
              <w:numPr>
                <w:ilvl w:val="0"/>
                <w:numId w:val="2"/>
              </w:numPr>
              <w:rPr>
                <w:sz w:val="20"/>
                <w:szCs w:val="20"/>
              </w:rPr>
            </w:pPr>
            <w:r w:rsidRPr="0010187E">
              <w:rPr>
                <w:sz w:val="20"/>
                <w:szCs w:val="20"/>
              </w:rPr>
              <w:t>the aims of the EU and the extent to which they have been achieved; the role of the EU in policy making and the impact of it on UK political systems and policy making</w:t>
            </w:r>
          </w:p>
        </w:tc>
      </w:tr>
      <w:tr w:rsidR="0010187E" w14:paraId="0241215A" w14:textId="77777777" w:rsidTr="00C6670B">
        <w:tc>
          <w:tcPr>
            <w:tcW w:w="1308" w:type="dxa"/>
          </w:tcPr>
          <w:p w14:paraId="2E3549F6" w14:textId="77777777" w:rsidR="0010187E" w:rsidRPr="0005322E" w:rsidRDefault="0010187E" w:rsidP="00AB4DA6">
            <w:pPr>
              <w:rPr>
                <w:sz w:val="18"/>
                <w:szCs w:val="18"/>
              </w:rPr>
            </w:pPr>
            <w:r w:rsidRPr="0005322E">
              <w:rPr>
                <w:sz w:val="18"/>
                <w:szCs w:val="18"/>
              </w:rPr>
              <w:t>AQA</w:t>
            </w:r>
            <w:r w:rsidR="000F5F7E">
              <w:rPr>
                <w:sz w:val="18"/>
                <w:szCs w:val="18"/>
              </w:rPr>
              <w:t xml:space="preserve"> specific </w:t>
            </w:r>
          </w:p>
        </w:tc>
        <w:tc>
          <w:tcPr>
            <w:tcW w:w="8231" w:type="dxa"/>
          </w:tcPr>
          <w:p w14:paraId="4D632F51" w14:textId="77777777" w:rsidR="0010187E" w:rsidRDefault="00232C7D" w:rsidP="00232C7D">
            <w:pPr>
              <w:pStyle w:val="ListParagraph"/>
              <w:numPr>
                <w:ilvl w:val="0"/>
                <w:numId w:val="3"/>
              </w:numPr>
              <w:rPr>
                <w:sz w:val="20"/>
                <w:szCs w:val="20"/>
              </w:rPr>
            </w:pPr>
            <w:r>
              <w:rPr>
                <w:sz w:val="20"/>
                <w:szCs w:val="20"/>
              </w:rPr>
              <w:t>Specific historical aspects to the UK constitution including Magna Carta, Bill of Rights, Act of Settlement, Parliament Acts, and European Communities Act</w:t>
            </w:r>
          </w:p>
          <w:p w14:paraId="711B252B" w14:textId="77777777" w:rsidR="00232C7D" w:rsidRDefault="00232C7D" w:rsidP="00232C7D">
            <w:pPr>
              <w:pStyle w:val="ListParagraph"/>
              <w:numPr>
                <w:ilvl w:val="0"/>
                <w:numId w:val="3"/>
              </w:numPr>
              <w:rPr>
                <w:sz w:val="20"/>
                <w:szCs w:val="20"/>
              </w:rPr>
            </w:pPr>
            <w:r>
              <w:rPr>
                <w:sz w:val="20"/>
                <w:szCs w:val="20"/>
              </w:rPr>
              <w:t>The delegate model and the trustee model</w:t>
            </w:r>
          </w:p>
          <w:p w14:paraId="396DCE4B" w14:textId="77777777" w:rsidR="00232C7D" w:rsidRDefault="00232C7D" w:rsidP="00232C7D">
            <w:pPr>
              <w:pStyle w:val="ListParagraph"/>
              <w:numPr>
                <w:ilvl w:val="0"/>
                <w:numId w:val="3"/>
              </w:numPr>
              <w:rPr>
                <w:sz w:val="20"/>
                <w:szCs w:val="20"/>
              </w:rPr>
            </w:pPr>
            <w:r>
              <w:rPr>
                <w:sz w:val="20"/>
                <w:szCs w:val="20"/>
              </w:rPr>
              <w:t>Parliamentary privilege</w:t>
            </w:r>
          </w:p>
          <w:p w14:paraId="448FEDD6" w14:textId="77777777" w:rsidR="00232C7D" w:rsidRDefault="00232C7D" w:rsidP="00232C7D">
            <w:pPr>
              <w:pStyle w:val="ListParagraph"/>
              <w:numPr>
                <w:ilvl w:val="0"/>
                <w:numId w:val="3"/>
              </w:numPr>
              <w:rPr>
                <w:sz w:val="20"/>
                <w:szCs w:val="20"/>
              </w:rPr>
            </w:pPr>
            <w:r>
              <w:rPr>
                <w:sz w:val="20"/>
                <w:szCs w:val="20"/>
              </w:rPr>
              <w:t>The concept of pluralism</w:t>
            </w:r>
          </w:p>
          <w:p w14:paraId="60A3F55E" w14:textId="77777777" w:rsidR="00232C7D" w:rsidRDefault="00232C7D" w:rsidP="00232C7D">
            <w:pPr>
              <w:pStyle w:val="ListParagraph"/>
              <w:numPr>
                <w:ilvl w:val="0"/>
                <w:numId w:val="3"/>
              </w:numPr>
              <w:rPr>
                <w:sz w:val="20"/>
                <w:szCs w:val="20"/>
              </w:rPr>
            </w:pPr>
            <w:r>
              <w:rPr>
                <w:sz w:val="20"/>
                <w:szCs w:val="20"/>
              </w:rPr>
              <w:t>The pressure groups studied must include one insider group and one outsider group</w:t>
            </w:r>
          </w:p>
          <w:p w14:paraId="0D09140F" w14:textId="77777777" w:rsidR="00232C7D" w:rsidRDefault="00232C7D" w:rsidP="00232C7D">
            <w:pPr>
              <w:pStyle w:val="ListParagraph"/>
              <w:numPr>
                <w:ilvl w:val="0"/>
                <w:numId w:val="3"/>
              </w:numPr>
              <w:rPr>
                <w:sz w:val="20"/>
                <w:szCs w:val="20"/>
              </w:rPr>
            </w:pPr>
            <w:r>
              <w:rPr>
                <w:sz w:val="20"/>
                <w:szCs w:val="20"/>
              </w:rPr>
              <w:t>The different EU institutions</w:t>
            </w:r>
          </w:p>
          <w:p w14:paraId="30532F0F" w14:textId="77777777" w:rsidR="00232C7D" w:rsidRPr="0005322E" w:rsidRDefault="00232C7D" w:rsidP="0005322E">
            <w:pPr>
              <w:pStyle w:val="ListParagraph"/>
              <w:numPr>
                <w:ilvl w:val="0"/>
                <w:numId w:val="3"/>
              </w:numPr>
              <w:rPr>
                <w:sz w:val="20"/>
                <w:szCs w:val="20"/>
              </w:rPr>
            </w:pPr>
            <w:r>
              <w:rPr>
                <w:sz w:val="20"/>
                <w:szCs w:val="20"/>
              </w:rPr>
              <w:t>The democratic deficit, in relation to the EU</w:t>
            </w:r>
          </w:p>
        </w:tc>
      </w:tr>
      <w:tr w:rsidR="0010187E" w14:paraId="7DB61602" w14:textId="77777777" w:rsidTr="00C6670B">
        <w:tc>
          <w:tcPr>
            <w:tcW w:w="1308" w:type="dxa"/>
            <w:tcBorders>
              <w:bottom w:val="single" w:sz="4" w:space="0" w:color="auto"/>
            </w:tcBorders>
          </w:tcPr>
          <w:p w14:paraId="17A93770" w14:textId="77777777" w:rsidR="0010187E" w:rsidRPr="0005322E" w:rsidRDefault="0010187E" w:rsidP="00AB4DA6">
            <w:pPr>
              <w:rPr>
                <w:sz w:val="18"/>
                <w:szCs w:val="18"/>
              </w:rPr>
            </w:pPr>
            <w:r w:rsidRPr="0005322E">
              <w:rPr>
                <w:sz w:val="18"/>
                <w:szCs w:val="18"/>
              </w:rPr>
              <w:t>Pearson Edexcel</w:t>
            </w:r>
            <w:r w:rsidR="000F5F7E">
              <w:rPr>
                <w:sz w:val="18"/>
                <w:szCs w:val="18"/>
              </w:rPr>
              <w:t xml:space="preserve"> specific</w:t>
            </w:r>
          </w:p>
        </w:tc>
        <w:tc>
          <w:tcPr>
            <w:tcW w:w="8231" w:type="dxa"/>
            <w:tcBorders>
              <w:bottom w:val="single" w:sz="4" w:space="0" w:color="auto"/>
            </w:tcBorders>
          </w:tcPr>
          <w:p w14:paraId="51C090F1" w14:textId="77777777" w:rsidR="0010187E" w:rsidRDefault="0005322E" w:rsidP="0005322E">
            <w:pPr>
              <w:pStyle w:val="ListParagraph"/>
              <w:numPr>
                <w:ilvl w:val="0"/>
                <w:numId w:val="4"/>
              </w:numPr>
              <w:rPr>
                <w:sz w:val="20"/>
                <w:szCs w:val="20"/>
              </w:rPr>
            </w:pPr>
            <w:r>
              <w:rPr>
                <w:sz w:val="20"/>
                <w:szCs w:val="20"/>
              </w:rPr>
              <w:t>The health of democracy in the UK</w:t>
            </w:r>
          </w:p>
          <w:p w14:paraId="63854271" w14:textId="77777777" w:rsidR="0005322E" w:rsidRDefault="0005322E" w:rsidP="0005322E">
            <w:pPr>
              <w:pStyle w:val="ListParagraph"/>
              <w:numPr>
                <w:ilvl w:val="0"/>
                <w:numId w:val="4"/>
              </w:numPr>
              <w:rPr>
                <w:sz w:val="20"/>
                <w:szCs w:val="20"/>
              </w:rPr>
            </w:pPr>
            <w:r>
              <w:rPr>
                <w:sz w:val="20"/>
                <w:szCs w:val="20"/>
              </w:rPr>
              <w:t>The work of a current movement to extend the franchise</w:t>
            </w:r>
          </w:p>
          <w:p w14:paraId="0A52E18A" w14:textId="77777777" w:rsidR="0005322E" w:rsidRDefault="0005322E" w:rsidP="0005322E">
            <w:pPr>
              <w:pStyle w:val="ListParagraph"/>
              <w:numPr>
                <w:ilvl w:val="0"/>
                <w:numId w:val="4"/>
              </w:numPr>
              <w:rPr>
                <w:sz w:val="20"/>
                <w:szCs w:val="20"/>
              </w:rPr>
            </w:pPr>
            <w:r>
              <w:rPr>
                <w:sz w:val="20"/>
                <w:szCs w:val="20"/>
              </w:rPr>
              <w:t>Study of pressure groups to include one sectional group and one causal group</w:t>
            </w:r>
          </w:p>
          <w:p w14:paraId="28A3219C" w14:textId="77777777" w:rsidR="0005322E" w:rsidRDefault="0005322E" w:rsidP="0005322E">
            <w:pPr>
              <w:pStyle w:val="ListParagraph"/>
              <w:numPr>
                <w:ilvl w:val="0"/>
                <w:numId w:val="4"/>
              </w:numPr>
              <w:rPr>
                <w:sz w:val="20"/>
                <w:szCs w:val="20"/>
              </w:rPr>
            </w:pPr>
            <w:r>
              <w:rPr>
                <w:sz w:val="20"/>
                <w:szCs w:val="20"/>
              </w:rPr>
              <w:t>The effectiveness of contributions from civil liberty pressure groups</w:t>
            </w:r>
          </w:p>
          <w:p w14:paraId="154D132C" w14:textId="77777777" w:rsidR="0005322E" w:rsidRDefault="0005322E" w:rsidP="0005322E">
            <w:pPr>
              <w:pStyle w:val="ListParagraph"/>
              <w:numPr>
                <w:ilvl w:val="0"/>
                <w:numId w:val="4"/>
              </w:numPr>
              <w:rPr>
                <w:sz w:val="20"/>
                <w:szCs w:val="20"/>
              </w:rPr>
            </w:pPr>
            <w:r>
              <w:rPr>
                <w:sz w:val="20"/>
                <w:szCs w:val="20"/>
              </w:rPr>
              <w:t>Policies of Labour, Conservative and Lib Dem in relation to economy, law and order, welfare, foreign policy</w:t>
            </w:r>
          </w:p>
          <w:p w14:paraId="48E54CFC" w14:textId="77777777" w:rsidR="0005322E" w:rsidRDefault="0005322E" w:rsidP="0005322E">
            <w:pPr>
              <w:pStyle w:val="ListParagraph"/>
              <w:numPr>
                <w:ilvl w:val="0"/>
                <w:numId w:val="4"/>
              </w:numPr>
              <w:rPr>
                <w:sz w:val="20"/>
                <w:szCs w:val="20"/>
              </w:rPr>
            </w:pPr>
            <w:r>
              <w:rPr>
                <w:sz w:val="20"/>
                <w:szCs w:val="20"/>
              </w:rPr>
              <w:t>Two and a half party systems</w:t>
            </w:r>
          </w:p>
          <w:p w14:paraId="1FC73CC3" w14:textId="77777777" w:rsidR="0005322E" w:rsidRDefault="0005322E" w:rsidP="0005322E">
            <w:pPr>
              <w:pStyle w:val="ListParagraph"/>
              <w:numPr>
                <w:ilvl w:val="0"/>
                <w:numId w:val="4"/>
              </w:numPr>
              <w:rPr>
                <w:sz w:val="20"/>
                <w:szCs w:val="20"/>
              </w:rPr>
            </w:pPr>
            <w:r>
              <w:rPr>
                <w:sz w:val="20"/>
                <w:szCs w:val="20"/>
              </w:rPr>
              <w:t>The issues of safe and marginal seats</w:t>
            </w:r>
          </w:p>
          <w:p w14:paraId="3972B6D1" w14:textId="77777777" w:rsidR="0005322E" w:rsidRDefault="0005322E" w:rsidP="0005322E">
            <w:pPr>
              <w:pStyle w:val="ListParagraph"/>
              <w:numPr>
                <w:ilvl w:val="0"/>
                <w:numId w:val="4"/>
              </w:numPr>
              <w:rPr>
                <w:sz w:val="20"/>
                <w:szCs w:val="20"/>
              </w:rPr>
            </w:pPr>
            <w:r>
              <w:rPr>
                <w:sz w:val="20"/>
                <w:szCs w:val="20"/>
              </w:rPr>
              <w:t>Rational choice theory</w:t>
            </w:r>
          </w:p>
          <w:p w14:paraId="00DC4FB0" w14:textId="77777777" w:rsidR="0005322E" w:rsidRDefault="0005322E" w:rsidP="0005322E">
            <w:pPr>
              <w:pStyle w:val="ListParagraph"/>
              <w:numPr>
                <w:ilvl w:val="0"/>
                <w:numId w:val="4"/>
              </w:numPr>
              <w:rPr>
                <w:sz w:val="20"/>
                <w:szCs w:val="20"/>
              </w:rPr>
            </w:pPr>
            <w:r>
              <w:rPr>
                <w:sz w:val="20"/>
                <w:szCs w:val="20"/>
              </w:rPr>
              <w:t>The changing media platform, including the relevance and importance of opinion polls</w:t>
            </w:r>
          </w:p>
          <w:p w14:paraId="1EE9CBA9" w14:textId="77777777" w:rsidR="0005322E" w:rsidRDefault="0005322E" w:rsidP="0005322E">
            <w:pPr>
              <w:pStyle w:val="ListParagraph"/>
              <w:numPr>
                <w:ilvl w:val="0"/>
                <w:numId w:val="4"/>
              </w:numPr>
              <w:rPr>
                <w:sz w:val="20"/>
                <w:szCs w:val="20"/>
              </w:rPr>
            </w:pPr>
            <w:r>
              <w:rPr>
                <w:sz w:val="20"/>
                <w:szCs w:val="20"/>
              </w:rPr>
              <w:t>Detailed knowledge of one pre-1997 and one post-1997 prime minister</w:t>
            </w:r>
          </w:p>
          <w:p w14:paraId="0A36D922" w14:textId="77777777" w:rsidR="0005322E" w:rsidRDefault="0005322E" w:rsidP="0005322E">
            <w:pPr>
              <w:pStyle w:val="ListParagraph"/>
              <w:numPr>
                <w:ilvl w:val="0"/>
                <w:numId w:val="4"/>
              </w:numPr>
              <w:rPr>
                <w:sz w:val="20"/>
                <w:szCs w:val="20"/>
              </w:rPr>
            </w:pPr>
            <w:r>
              <w:rPr>
                <w:sz w:val="20"/>
                <w:szCs w:val="20"/>
              </w:rPr>
              <w:t>The extent to which the balance of power between the executive and Parliament has changed in recent years</w:t>
            </w:r>
          </w:p>
          <w:p w14:paraId="753497F2" w14:textId="77777777" w:rsidR="0005322E" w:rsidRPr="0005322E" w:rsidRDefault="0005322E" w:rsidP="0005322E">
            <w:pPr>
              <w:pStyle w:val="ListParagraph"/>
              <w:numPr>
                <w:ilvl w:val="0"/>
                <w:numId w:val="4"/>
              </w:numPr>
              <w:rPr>
                <w:sz w:val="20"/>
                <w:szCs w:val="20"/>
              </w:rPr>
            </w:pPr>
            <w:r>
              <w:rPr>
                <w:sz w:val="20"/>
                <w:szCs w:val="20"/>
              </w:rPr>
              <w:lastRenderedPageBreak/>
              <w:t>The location of sovereignty in the UK</w:t>
            </w:r>
          </w:p>
        </w:tc>
      </w:tr>
      <w:tr w:rsidR="006F6018" w14:paraId="07334B5F" w14:textId="77777777" w:rsidTr="00C6670B">
        <w:tc>
          <w:tcPr>
            <w:tcW w:w="1308" w:type="dxa"/>
            <w:shd w:val="clear" w:color="auto" w:fill="00B0F0"/>
          </w:tcPr>
          <w:p w14:paraId="4D775352" w14:textId="77777777" w:rsidR="006F6018" w:rsidRPr="0005322E" w:rsidRDefault="006F6018" w:rsidP="00DF2669">
            <w:pPr>
              <w:rPr>
                <w:b/>
              </w:rPr>
            </w:pPr>
            <w:r w:rsidRPr="0005322E">
              <w:rPr>
                <w:b/>
              </w:rPr>
              <w:lastRenderedPageBreak/>
              <w:t>Body</w:t>
            </w:r>
          </w:p>
        </w:tc>
        <w:tc>
          <w:tcPr>
            <w:tcW w:w="8231" w:type="dxa"/>
            <w:shd w:val="clear" w:color="auto" w:fill="00B0F0"/>
          </w:tcPr>
          <w:p w14:paraId="75C44FB8" w14:textId="77777777" w:rsidR="006F6018" w:rsidRPr="0010187E" w:rsidRDefault="006F6018" w:rsidP="00DF2669">
            <w:pPr>
              <w:rPr>
                <w:b/>
                <w:sz w:val="24"/>
                <w:szCs w:val="24"/>
              </w:rPr>
            </w:pPr>
            <w:r w:rsidRPr="0010187E">
              <w:rPr>
                <w:b/>
                <w:sz w:val="24"/>
                <w:szCs w:val="24"/>
              </w:rPr>
              <w:t>Addition</w:t>
            </w:r>
            <w:r w:rsidR="00301D3B">
              <w:rPr>
                <w:b/>
                <w:sz w:val="24"/>
                <w:szCs w:val="24"/>
              </w:rPr>
              <w:t>s</w:t>
            </w:r>
            <w:r>
              <w:rPr>
                <w:b/>
                <w:sz w:val="24"/>
                <w:szCs w:val="24"/>
              </w:rPr>
              <w:t xml:space="preserve"> to second-year A level Politics</w:t>
            </w:r>
          </w:p>
        </w:tc>
      </w:tr>
      <w:tr w:rsidR="006F6018" w14:paraId="6E3303D7" w14:textId="77777777" w:rsidTr="00C6670B">
        <w:tc>
          <w:tcPr>
            <w:tcW w:w="1308" w:type="dxa"/>
          </w:tcPr>
          <w:p w14:paraId="55DF22FF" w14:textId="77777777" w:rsidR="006F6018" w:rsidRPr="0005322E" w:rsidRDefault="006F6018" w:rsidP="00DF2669">
            <w:pPr>
              <w:rPr>
                <w:sz w:val="18"/>
                <w:szCs w:val="18"/>
              </w:rPr>
            </w:pPr>
            <w:r w:rsidRPr="0005322E">
              <w:rPr>
                <w:sz w:val="18"/>
                <w:szCs w:val="18"/>
              </w:rPr>
              <w:t>Ofqual</w:t>
            </w:r>
          </w:p>
        </w:tc>
        <w:tc>
          <w:tcPr>
            <w:tcW w:w="8231" w:type="dxa"/>
          </w:tcPr>
          <w:p w14:paraId="6C4E8646" w14:textId="77777777" w:rsidR="000F5F7E" w:rsidRPr="00301D3B" w:rsidRDefault="00301D3B" w:rsidP="00301D3B">
            <w:pPr>
              <w:rPr>
                <w:sz w:val="20"/>
                <w:szCs w:val="20"/>
              </w:rPr>
            </w:pPr>
            <w:r>
              <w:rPr>
                <w:b/>
                <w:sz w:val="20"/>
                <w:szCs w:val="20"/>
              </w:rPr>
              <w:t xml:space="preserve">Ideologies: </w:t>
            </w:r>
            <w:r w:rsidR="000F5F7E" w:rsidRPr="00301D3B">
              <w:rPr>
                <w:sz w:val="20"/>
                <w:szCs w:val="20"/>
              </w:rPr>
              <w:t>All students will be required to study some political ideologies – previously this was optional</w:t>
            </w:r>
          </w:p>
          <w:p w14:paraId="1B820C04" w14:textId="77777777" w:rsidR="000F5F7E" w:rsidRDefault="000F5F7E" w:rsidP="00DF2669">
            <w:pPr>
              <w:pStyle w:val="ListParagraph"/>
              <w:numPr>
                <w:ilvl w:val="0"/>
                <w:numId w:val="2"/>
              </w:numPr>
              <w:rPr>
                <w:sz w:val="20"/>
                <w:szCs w:val="20"/>
              </w:rPr>
            </w:pPr>
            <w:r>
              <w:rPr>
                <w:sz w:val="20"/>
                <w:szCs w:val="20"/>
              </w:rPr>
              <w:t xml:space="preserve">Compulsory ideology - Liberalism: core principles, tensions (classical liberalism vs modern liberalism), the </w:t>
            </w:r>
            <w:r w:rsidRPr="000F5F7E">
              <w:rPr>
                <w:sz w:val="20"/>
                <w:szCs w:val="20"/>
              </w:rPr>
              <w:t>work of thinkers John Locke, Mary Wollstonecraft, John Stuart Mill, John Rawls and Betty Friedan</w:t>
            </w:r>
          </w:p>
          <w:p w14:paraId="6713AE2C" w14:textId="77777777" w:rsidR="000F5F7E" w:rsidRDefault="000F5F7E" w:rsidP="00DF2669">
            <w:pPr>
              <w:pStyle w:val="ListParagraph"/>
              <w:numPr>
                <w:ilvl w:val="0"/>
                <w:numId w:val="2"/>
              </w:numPr>
              <w:rPr>
                <w:sz w:val="20"/>
                <w:szCs w:val="20"/>
              </w:rPr>
            </w:pPr>
            <w:r>
              <w:rPr>
                <w:sz w:val="20"/>
                <w:szCs w:val="20"/>
              </w:rPr>
              <w:t xml:space="preserve">Compulsory ideology – Conservatism: core principles, tensions (traditional conservatism vs New Right), the work of </w:t>
            </w:r>
            <w:r w:rsidRPr="000F5F7E">
              <w:rPr>
                <w:sz w:val="20"/>
                <w:szCs w:val="20"/>
              </w:rPr>
              <w:t xml:space="preserve">thinkers Thomas Hobbes, Edmund Burke, Ayn Rand, Michael Oakeshott and Robert </w:t>
            </w:r>
            <w:proofErr w:type="spellStart"/>
            <w:r w:rsidRPr="000F5F7E">
              <w:rPr>
                <w:sz w:val="20"/>
                <w:szCs w:val="20"/>
              </w:rPr>
              <w:t>Nozick</w:t>
            </w:r>
            <w:proofErr w:type="spellEnd"/>
          </w:p>
          <w:p w14:paraId="790DBB14" w14:textId="77777777" w:rsidR="000F5F7E" w:rsidRDefault="000F5F7E" w:rsidP="00DF2669">
            <w:pPr>
              <w:pStyle w:val="ListParagraph"/>
              <w:numPr>
                <w:ilvl w:val="0"/>
                <w:numId w:val="2"/>
              </w:numPr>
              <w:rPr>
                <w:sz w:val="20"/>
                <w:szCs w:val="20"/>
              </w:rPr>
            </w:pPr>
            <w:r>
              <w:rPr>
                <w:sz w:val="20"/>
                <w:szCs w:val="20"/>
              </w:rPr>
              <w:t>Compulsory ideology – Socialism</w:t>
            </w:r>
            <w:r w:rsidRPr="000F5F7E">
              <w:rPr>
                <w:sz w:val="20"/>
                <w:szCs w:val="20"/>
              </w:rPr>
              <w:t>: core principles, tensions (revolutionary socialism vs social democracy), the work of thinkers Karl Marx and Friedrich Engels, Beatrice Webb, Rosa Luxemburg, Anthony Crosland and Anthony Giddens</w:t>
            </w:r>
          </w:p>
          <w:p w14:paraId="1ECEDA17" w14:textId="77777777" w:rsidR="000F5F7E" w:rsidRDefault="000F5F7E" w:rsidP="00DF2669">
            <w:pPr>
              <w:pStyle w:val="ListParagraph"/>
              <w:numPr>
                <w:ilvl w:val="0"/>
                <w:numId w:val="2"/>
              </w:numPr>
              <w:rPr>
                <w:sz w:val="20"/>
                <w:szCs w:val="20"/>
              </w:rPr>
            </w:pPr>
            <w:r>
              <w:rPr>
                <w:sz w:val="20"/>
                <w:szCs w:val="20"/>
              </w:rPr>
              <w:t xml:space="preserve">One of the following optional ideologies: Nationalism, Multiculturalism, </w:t>
            </w:r>
            <w:proofErr w:type="spellStart"/>
            <w:r>
              <w:rPr>
                <w:sz w:val="20"/>
                <w:szCs w:val="20"/>
              </w:rPr>
              <w:t>Ecologism</w:t>
            </w:r>
            <w:proofErr w:type="spellEnd"/>
            <w:r>
              <w:rPr>
                <w:sz w:val="20"/>
                <w:szCs w:val="20"/>
              </w:rPr>
              <w:t>, Feminism, Anarchism</w:t>
            </w:r>
          </w:p>
          <w:p w14:paraId="00916685" w14:textId="77777777" w:rsidR="004B2146" w:rsidRDefault="00301D3B" w:rsidP="00301D3B">
            <w:pPr>
              <w:rPr>
                <w:b/>
                <w:sz w:val="20"/>
                <w:szCs w:val="20"/>
              </w:rPr>
            </w:pPr>
            <w:r>
              <w:rPr>
                <w:b/>
                <w:sz w:val="20"/>
                <w:szCs w:val="20"/>
              </w:rPr>
              <w:t>USA option</w:t>
            </w:r>
          </w:p>
          <w:p w14:paraId="6516BEB3" w14:textId="77777777" w:rsidR="00301D3B" w:rsidRDefault="00301D3B" w:rsidP="00301D3B">
            <w:pPr>
              <w:pStyle w:val="ListParagraph"/>
              <w:numPr>
                <w:ilvl w:val="0"/>
                <w:numId w:val="5"/>
              </w:numPr>
              <w:rPr>
                <w:sz w:val="20"/>
                <w:szCs w:val="20"/>
              </w:rPr>
            </w:pPr>
            <w:r>
              <w:rPr>
                <w:sz w:val="20"/>
                <w:szCs w:val="20"/>
              </w:rPr>
              <w:t>Deeper comparative analysis with UK Politics – specifically structural, rational, and cultural theoretical approaches</w:t>
            </w:r>
          </w:p>
          <w:p w14:paraId="349ED6AF" w14:textId="77777777" w:rsidR="00301D3B" w:rsidRDefault="00301D3B" w:rsidP="00301D3B">
            <w:pPr>
              <w:pStyle w:val="ListParagraph"/>
              <w:numPr>
                <w:ilvl w:val="0"/>
                <w:numId w:val="5"/>
              </w:numPr>
              <w:rPr>
                <w:sz w:val="20"/>
                <w:szCs w:val="20"/>
              </w:rPr>
            </w:pPr>
            <w:r>
              <w:rPr>
                <w:sz w:val="20"/>
                <w:szCs w:val="20"/>
              </w:rPr>
              <w:t>The extent to which the legislatures of the UK and US are equal</w:t>
            </w:r>
          </w:p>
          <w:p w14:paraId="4C9ECDF7" w14:textId="77777777" w:rsidR="00301D3B" w:rsidRDefault="00301D3B" w:rsidP="00301D3B">
            <w:pPr>
              <w:pStyle w:val="ListParagraph"/>
              <w:numPr>
                <w:ilvl w:val="0"/>
                <w:numId w:val="5"/>
              </w:numPr>
              <w:rPr>
                <w:sz w:val="20"/>
                <w:szCs w:val="20"/>
              </w:rPr>
            </w:pPr>
            <w:r>
              <w:rPr>
                <w:sz w:val="20"/>
                <w:szCs w:val="20"/>
              </w:rPr>
              <w:t>Why the US has a two-party system and the UK a multi-party system</w:t>
            </w:r>
          </w:p>
          <w:p w14:paraId="03506722" w14:textId="77777777" w:rsidR="00301D3B" w:rsidRDefault="00301D3B" w:rsidP="00301D3B">
            <w:pPr>
              <w:pStyle w:val="ListParagraph"/>
              <w:numPr>
                <w:ilvl w:val="0"/>
                <w:numId w:val="5"/>
              </w:numPr>
              <w:rPr>
                <w:sz w:val="20"/>
                <w:szCs w:val="20"/>
              </w:rPr>
            </w:pPr>
            <w:r>
              <w:rPr>
                <w:sz w:val="20"/>
                <w:szCs w:val="20"/>
              </w:rPr>
              <w:t>Similarities and differences in the protection of civil rights in the UK and US</w:t>
            </w:r>
          </w:p>
          <w:p w14:paraId="3E913421" w14:textId="77777777" w:rsidR="00984BF9" w:rsidRDefault="00984BF9" w:rsidP="00984BF9">
            <w:pPr>
              <w:rPr>
                <w:b/>
                <w:sz w:val="20"/>
                <w:szCs w:val="20"/>
              </w:rPr>
            </w:pPr>
            <w:r>
              <w:rPr>
                <w:b/>
                <w:sz w:val="20"/>
                <w:szCs w:val="20"/>
              </w:rPr>
              <w:t>Global option</w:t>
            </w:r>
          </w:p>
          <w:p w14:paraId="6389B958" w14:textId="77777777" w:rsidR="00984BF9" w:rsidRDefault="00984BF9" w:rsidP="00984BF9">
            <w:pPr>
              <w:pStyle w:val="ListParagraph"/>
              <w:numPr>
                <w:ilvl w:val="0"/>
                <w:numId w:val="6"/>
              </w:numPr>
              <w:rPr>
                <w:sz w:val="20"/>
                <w:szCs w:val="20"/>
              </w:rPr>
            </w:pPr>
            <w:r>
              <w:rPr>
                <w:sz w:val="20"/>
                <w:szCs w:val="20"/>
              </w:rPr>
              <w:t>More emphasis on the origins and development of international law for global politics</w:t>
            </w:r>
          </w:p>
          <w:p w14:paraId="35985044" w14:textId="77777777" w:rsidR="00984BF9" w:rsidRDefault="00984BF9" w:rsidP="00984BF9">
            <w:pPr>
              <w:pStyle w:val="ListParagraph"/>
              <w:numPr>
                <w:ilvl w:val="0"/>
                <w:numId w:val="6"/>
              </w:numPr>
              <w:rPr>
                <w:sz w:val="20"/>
                <w:szCs w:val="20"/>
              </w:rPr>
            </w:pPr>
            <w:r>
              <w:rPr>
                <w:sz w:val="20"/>
                <w:szCs w:val="20"/>
              </w:rPr>
              <w:t>More specific on influence of global civil society and NGOs</w:t>
            </w:r>
          </w:p>
          <w:p w14:paraId="2F4C1EBD" w14:textId="77777777" w:rsidR="00984BF9" w:rsidRDefault="00984BF9" w:rsidP="00984BF9">
            <w:pPr>
              <w:pStyle w:val="ListParagraph"/>
              <w:numPr>
                <w:ilvl w:val="0"/>
                <w:numId w:val="6"/>
              </w:numPr>
              <w:rPr>
                <w:sz w:val="20"/>
                <w:szCs w:val="20"/>
              </w:rPr>
            </w:pPr>
            <w:r>
              <w:rPr>
                <w:sz w:val="20"/>
                <w:szCs w:val="20"/>
              </w:rPr>
              <w:t>Systems of government: autocratic through to democratic</w:t>
            </w:r>
          </w:p>
          <w:p w14:paraId="164410EE" w14:textId="77777777" w:rsidR="00984BF9" w:rsidRDefault="00984BF9" w:rsidP="00984BF9">
            <w:pPr>
              <w:pStyle w:val="ListParagraph"/>
              <w:numPr>
                <w:ilvl w:val="0"/>
                <w:numId w:val="6"/>
              </w:numPr>
              <w:rPr>
                <w:sz w:val="20"/>
                <w:szCs w:val="20"/>
              </w:rPr>
            </w:pPr>
            <w:r>
              <w:rPr>
                <w:sz w:val="20"/>
                <w:szCs w:val="20"/>
              </w:rPr>
              <w:t>Changing nature of the world since 2000, including superpowers and emerging powers (BRICs), the spread of liberal economies</w:t>
            </w:r>
          </w:p>
          <w:p w14:paraId="4C4A2CE3" w14:textId="77777777" w:rsidR="00984BF9" w:rsidRDefault="00984BF9" w:rsidP="00984BF9">
            <w:pPr>
              <w:pStyle w:val="ListParagraph"/>
              <w:numPr>
                <w:ilvl w:val="0"/>
                <w:numId w:val="6"/>
              </w:numPr>
              <w:rPr>
                <w:sz w:val="20"/>
                <w:szCs w:val="20"/>
              </w:rPr>
            </w:pPr>
            <w:r>
              <w:rPr>
                <w:sz w:val="20"/>
                <w:szCs w:val="20"/>
              </w:rPr>
              <w:t>The effectiveness of different types of power (military, diplomatic, and cultural)</w:t>
            </w:r>
          </w:p>
          <w:p w14:paraId="54A8E3AB" w14:textId="77777777" w:rsidR="00984BF9" w:rsidRPr="00984BF9" w:rsidRDefault="00984BF9" w:rsidP="00984BF9">
            <w:pPr>
              <w:pStyle w:val="ListParagraph"/>
              <w:numPr>
                <w:ilvl w:val="0"/>
                <w:numId w:val="6"/>
              </w:numPr>
              <w:rPr>
                <w:sz w:val="20"/>
                <w:szCs w:val="20"/>
              </w:rPr>
            </w:pPr>
            <w:r>
              <w:rPr>
                <w:sz w:val="20"/>
                <w:szCs w:val="20"/>
              </w:rPr>
              <w:t>More emphasis on regionalisation across the globe, not just Europe</w:t>
            </w:r>
          </w:p>
        </w:tc>
      </w:tr>
      <w:tr w:rsidR="006F6018" w14:paraId="3885947F" w14:textId="77777777" w:rsidTr="00C6670B">
        <w:tc>
          <w:tcPr>
            <w:tcW w:w="1308" w:type="dxa"/>
          </w:tcPr>
          <w:p w14:paraId="36273E73" w14:textId="77777777" w:rsidR="006F6018" w:rsidRPr="0005322E" w:rsidRDefault="006F6018" w:rsidP="00DF2669">
            <w:pPr>
              <w:rPr>
                <w:sz w:val="18"/>
                <w:szCs w:val="18"/>
              </w:rPr>
            </w:pPr>
            <w:r w:rsidRPr="0005322E">
              <w:rPr>
                <w:sz w:val="18"/>
                <w:szCs w:val="18"/>
              </w:rPr>
              <w:t>AQA</w:t>
            </w:r>
          </w:p>
        </w:tc>
        <w:tc>
          <w:tcPr>
            <w:tcW w:w="8231" w:type="dxa"/>
          </w:tcPr>
          <w:p w14:paraId="1A93989F" w14:textId="77777777" w:rsidR="00984BF9" w:rsidRPr="00984BF9" w:rsidRDefault="00984BF9" w:rsidP="00984BF9">
            <w:pPr>
              <w:rPr>
                <w:b/>
                <w:sz w:val="20"/>
                <w:szCs w:val="20"/>
              </w:rPr>
            </w:pPr>
            <w:r>
              <w:rPr>
                <w:b/>
                <w:sz w:val="20"/>
                <w:szCs w:val="20"/>
              </w:rPr>
              <w:t>Ideologies</w:t>
            </w:r>
          </w:p>
          <w:p w14:paraId="2B52D33F" w14:textId="77777777" w:rsidR="006F6018" w:rsidRDefault="004B2146" w:rsidP="00DF2669">
            <w:pPr>
              <w:pStyle w:val="ListParagraph"/>
              <w:numPr>
                <w:ilvl w:val="0"/>
                <w:numId w:val="3"/>
              </w:numPr>
              <w:rPr>
                <w:sz w:val="20"/>
                <w:szCs w:val="20"/>
              </w:rPr>
            </w:pPr>
            <w:r>
              <w:rPr>
                <w:sz w:val="20"/>
                <w:szCs w:val="20"/>
              </w:rPr>
              <w:t>Compulsory ideology – Liberalism: ideas and values regarding the individual and welfare, neoliberalism and it relation to the New Right</w:t>
            </w:r>
          </w:p>
          <w:p w14:paraId="237ED64E" w14:textId="77777777" w:rsidR="004B2146" w:rsidRDefault="004B2146" w:rsidP="00DF2669">
            <w:pPr>
              <w:pStyle w:val="ListParagraph"/>
              <w:numPr>
                <w:ilvl w:val="0"/>
                <w:numId w:val="3"/>
              </w:numPr>
              <w:rPr>
                <w:sz w:val="20"/>
                <w:szCs w:val="20"/>
              </w:rPr>
            </w:pPr>
            <w:r>
              <w:rPr>
                <w:sz w:val="20"/>
                <w:szCs w:val="20"/>
              </w:rPr>
              <w:t xml:space="preserve">Compulsory ideology – Conservatism: views on </w:t>
            </w:r>
            <w:r w:rsidR="00CA768C">
              <w:rPr>
                <w:sz w:val="20"/>
                <w:szCs w:val="20"/>
              </w:rPr>
              <w:t>authority and private property, the significance of conservative attitudes towards the government, free market and the individual, strands of thinking from traditional conservatism to the New Right</w:t>
            </w:r>
          </w:p>
          <w:p w14:paraId="53F02D93" w14:textId="77777777" w:rsidR="00CA768C" w:rsidRDefault="00CA768C" w:rsidP="00DF2669">
            <w:pPr>
              <w:pStyle w:val="ListParagraph"/>
              <w:numPr>
                <w:ilvl w:val="0"/>
                <w:numId w:val="3"/>
              </w:numPr>
              <w:rPr>
                <w:sz w:val="20"/>
                <w:szCs w:val="20"/>
              </w:rPr>
            </w:pPr>
            <w:r>
              <w:rPr>
                <w:sz w:val="20"/>
                <w:szCs w:val="20"/>
              </w:rPr>
              <w:t>Compulsory ideology – Socialism: class analysis (Marxism and Neo Marxism) debates relating to the fundamental goals of socialism, revolutionary socialism / democratic socialism / social democracy</w:t>
            </w:r>
          </w:p>
          <w:p w14:paraId="401145EE" w14:textId="77777777" w:rsidR="00984BF9" w:rsidRDefault="00984BF9" w:rsidP="00984BF9">
            <w:pPr>
              <w:pStyle w:val="ListParagraph"/>
              <w:rPr>
                <w:sz w:val="20"/>
                <w:szCs w:val="20"/>
              </w:rPr>
            </w:pPr>
          </w:p>
          <w:p w14:paraId="71B49A05" w14:textId="77777777" w:rsidR="00707620" w:rsidRPr="00707620" w:rsidRDefault="00984BF9" w:rsidP="00707620">
            <w:pPr>
              <w:rPr>
                <w:sz w:val="20"/>
                <w:szCs w:val="20"/>
              </w:rPr>
            </w:pPr>
            <w:r>
              <w:rPr>
                <w:sz w:val="20"/>
                <w:szCs w:val="20"/>
              </w:rPr>
              <w:t xml:space="preserve">There is </w:t>
            </w:r>
            <w:r>
              <w:rPr>
                <w:b/>
                <w:sz w:val="20"/>
                <w:szCs w:val="20"/>
              </w:rPr>
              <w:t>no</w:t>
            </w:r>
            <w:r>
              <w:rPr>
                <w:sz w:val="20"/>
                <w:szCs w:val="20"/>
              </w:rPr>
              <w:t xml:space="preserve"> Global Politics option – students must study the US</w:t>
            </w:r>
            <w:r w:rsidR="00707620">
              <w:rPr>
                <w:sz w:val="20"/>
                <w:szCs w:val="20"/>
              </w:rPr>
              <w:t>. There is little change from the legacy US specification other than s</w:t>
            </w:r>
            <w:r w:rsidR="00707620" w:rsidRPr="00707620">
              <w:rPr>
                <w:sz w:val="20"/>
                <w:szCs w:val="20"/>
              </w:rPr>
              <w:t xml:space="preserve">lightly more emphasis on knowledge of specific landmark Supreme Court cases, </w:t>
            </w:r>
          </w:p>
        </w:tc>
      </w:tr>
      <w:tr w:rsidR="006F6018" w14:paraId="3CE13036" w14:textId="77777777" w:rsidTr="00C6670B">
        <w:tc>
          <w:tcPr>
            <w:tcW w:w="1308" w:type="dxa"/>
          </w:tcPr>
          <w:p w14:paraId="779EAE84" w14:textId="77777777" w:rsidR="006F6018" w:rsidRPr="0005322E" w:rsidRDefault="006F6018" w:rsidP="00DF2669">
            <w:pPr>
              <w:rPr>
                <w:sz w:val="18"/>
                <w:szCs w:val="18"/>
              </w:rPr>
            </w:pPr>
            <w:r w:rsidRPr="0005322E">
              <w:rPr>
                <w:sz w:val="18"/>
                <w:szCs w:val="18"/>
              </w:rPr>
              <w:t>Pearson Edexcel</w:t>
            </w:r>
          </w:p>
        </w:tc>
        <w:tc>
          <w:tcPr>
            <w:tcW w:w="8231" w:type="dxa"/>
          </w:tcPr>
          <w:p w14:paraId="1D99EAC0" w14:textId="77777777" w:rsidR="00707620" w:rsidRDefault="00707620" w:rsidP="00984BF9">
            <w:pPr>
              <w:rPr>
                <w:b/>
                <w:sz w:val="20"/>
                <w:szCs w:val="20"/>
              </w:rPr>
            </w:pPr>
            <w:r>
              <w:rPr>
                <w:b/>
                <w:sz w:val="20"/>
                <w:szCs w:val="20"/>
              </w:rPr>
              <w:t>Ideologies</w:t>
            </w:r>
          </w:p>
          <w:p w14:paraId="34CF97B3" w14:textId="77777777" w:rsidR="00707620" w:rsidRPr="00707620" w:rsidRDefault="00707620" w:rsidP="00707620">
            <w:pPr>
              <w:pStyle w:val="ListParagraph"/>
              <w:numPr>
                <w:ilvl w:val="0"/>
                <w:numId w:val="8"/>
              </w:numPr>
              <w:rPr>
                <w:sz w:val="20"/>
                <w:szCs w:val="20"/>
              </w:rPr>
            </w:pPr>
            <w:r>
              <w:rPr>
                <w:sz w:val="20"/>
                <w:szCs w:val="20"/>
              </w:rPr>
              <w:t>All compulsory and optional ideologies include significant consideration of the “spectrum” and range of views/subcategories within that ideology, above and beyond that required by Ofqual</w:t>
            </w:r>
          </w:p>
          <w:p w14:paraId="1AFB809A" w14:textId="77777777" w:rsidR="006F6018" w:rsidRDefault="00984BF9" w:rsidP="00984BF9">
            <w:pPr>
              <w:rPr>
                <w:b/>
                <w:sz w:val="20"/>
                <w:szCs w:val="20"/>
              </w:rPr>
            </w:pPr>
            <w:r>
              <w:rPr>
                <w:b/>
                <w:sz w:val="20"/>
                <w:szCs w:val="20"/>
              </w:rPr>
              <w:t>US option</w:t>
            </w:r>
          </w:p>
          <w:p w14:paraId="3D814DDE" w14:textId="77777777" w:rsidR="00984BF9" w:rsidRDefault="00984BF9" w:rsidP="00984BF9">
            <w:pPr>
              <w:pStyle w:val="ListParagraph"/>
              <w:numPr>
                <w:ilvl w:val="0"/>
                <w:numId w:val="7"/>
              </w:numPr>
              <w:rPr>
                <w:sz w:val="20"/>
                <w:szCs w:val="20"/>
              </w:rPr>
            </w:pPr>
            <w:r>
              <w:rPr>
                <w:sz w:val="20"/>
                <w:szCs w:val="20"/>
              </w:rPr>
              <w:t>No additional changes/additions – but centres will find that the specification presents the order and combination of topics rather differently than when US Politics and US Government were separate units, and this must be taken into consideration when planning.</w:t>
            </w:r>
          </w:p>
          <w:p w14:paraId="249500C9" w14:textId="77777777" w:rsidR="00984BF9" w:rsidRDefault="00984BF9" w:rsidP="00984BF9">
            <w:pPr>
              <w:rPr>
                <w:sz w:val="20"/>
                <w:szCs w:val="20"/>
              </w:rPr>
            </w:pPr>
            <w:r>
              <w:rPr>
                <w:b/>
                <w:sz w:val="20"/>
                <w:szCs w:val="20"/>
              </w:rPr>
              <w:t>Global option</w:t>
            </w:r>
          </w:p>
          <w:p w14:paraId="034BEF46" w14:textId="77777777" w:rsidR="00984BF9" w:rsidRDefault="00984BF9" w:rsidP="00984BF9">
            <w:pPr>
              <w:pStyle w:val="ListParagraph"/>
              <w:numPr>
                <w:ilvl w:val="0"/>
                <w:numId w:val="7"/>
              </w:numPr>
              <w:rPr>
                <w:sz w:val="20"/>
                <w:szCs w:val="20"/>
              </w:rPr>
            </w:pPr>
            <w:r>
              <w:rPr>
                <w:sz w:val="20"/>
                <w:szCs w:val="20"/>
              </w:rPr>
              <w:t>Significant emphasis on sovereignty, and challenges to sovereignty e.g. humanitarian intervention</w:t>
            </w:r>
          </w:p>
          <w:p w14:paraId="1326F227" w14:textId="77777777" w:rsidR="00984BF9" w:rsidRDefault="00984BF9" w:rsidP="00984BF9">
            <w:pPr>
              <w:pStyle w:val="ListParagraph"/>
              <w:numPr>
                <w:ilvl w:val="0"/>
                <w:numId w:val="7"/>
              </w:numPr>
              <w:rPr>
                <w:sz w:val="20"/>
                <w:szCs w:val="20"/>
              </w:rPr>
            </w:pPr>
            <w:r>
              <w:rPr>
                <w:sz w:val="20"/>
                <w:szCs w:val="20"/>
              </w:rPr>
              <w:t>Globalisation and the impact on peace</w:t>
            </w:r>
          </w:p>
          <w:p w14:paraId="58246B9B" w14:textId="77777777" w:rsidR="00984BF9" w:rsidRDefault="00984BF9" w:rsidP="00984BF9">
            <w:pPr>
              <w:pStyle w:val="ListParagraph"/>
              <w:numPr>
                <w:ilvl w:val="0"/>
                <w:numId w:val="7"/>
              </w:numPr>
              <w:rPr>
                <w:sz w:val="20"/>
                <w:szCs w:val="20"/>
              </w:rPr>
            </w:pPr>
            <w:r>
              <w:rPr>
                <w:sz w:val="20"/>
                <w:szCs w:val="20"/>
              </w:rPr>
              <w:lastRenderedPageBreak/>
              <w:t>In-depth analysis of the UN, including the Security Council</w:t>
            </w:r>
          </w:p>
          <w:p w14:paraId="0840F4F3" w14:textId="77777777" w:rsidR="00984BF9" w:rsidRDefault="00984BF9" w:rsidP="00984BF9">
            <w:pPr>
              <w:pStyle w:val="ListParagraph"/>
              <w:numPr>
                <w:ilvl w:val="0"/>
                <w:numId w:val="7"/>
              </w:numPr>
              <w:rPr>
                <w:sz w:val="20"/>
                <w:szCs w:val="20"/>
              </w:rPr>
            </w:pPr>
            <w:r>
              <w:rPr>
                <w:sz w:val="20"/>
                <w:szCs w:val="20"/>
              </w:rPr>
              <w:t>Attempts to resolve poverty through SAPs, economic development theories, aid, debt relief</w:t>
            </w:r>
          </w:p>
          <w:p w14:paraId="3F01C760" w14:textId="77777777" w:rsidR="00984BF9" w:rsidRDefault="00984BF9" w:rsidP="00984BF9">
            <w:pPr>
              <w:pStyle w:val="ListParagraph"/>
              <w:numPr>
                <w:ilvl w:val="0"/>
                <w:numId w:val="7"/>
              </w:numPr>
              <w:rPr>
                <w:sz w:val="20"/>
                <w:szCs w:val="20"/>
              </w:rPr>
            </w:pPr>
            <w:r>
              <w:rPr>
                <w:sz w:val="20"/>
                <w:szCs w:val="20"/>
              </w:rPr>
              <w:t xml:space="preserve">Significant emphasis on climate change, including international treaties, </w:t>
            </w:r>
            <w:r w:rsidR="00707620">
              <w:rPr>
                <w:sz w:val="20"/>
                <w:szCs w:val="20"/>
              </w:rPr>
              <w:t xml:space="preserve">developed vs non-developed countries, IPCC, and even more emphasis on detailed policies to mitigate climate change </w:t>
            </w:r>
          </w:p>
          <w:p w14:paraId="424A7116" w14:textId="77777777" w:rsidR="00707620" w:rsidRPr="00984BF9" w:rsidRDefault="00707620" w:rsidP="00984BF9">
            <w:pPr>
              <w:pStyle w:val="ListParagraph"/>
              <w:numPr>
                <w:ilvl w:val="0"/>
                <w:numId w:val="7"/>
              </w:numPr>
              <w:rPr>
                <w:sz w:val="20"/>
                <w:szCs w:val="20"/>
              </w:rPr>
            </w:pPr>
            <w:r>
              <w:rPr>
                <w:sz w:val="20"/>
                <w:szCs w:val="20"/>
              </w:rPr>
              <w:t>Failed states and rogue states</w:t>
            </w:r>
          </w:p>
        </w:tc>
      </w:tr>
    </w:tbl>
    <w:p w14:paraId="26034B94" w14:textId="77777777" w:rsidR="00733C05" w:rsidRDefault="00733C05">
      <w:pPr>
        <w:rPr>
          <w:b/>
          <w:sz w:val="24"/>
          <w:szCs w:val="24"/>
        </w:rPr>
      </w:pPr>
    </w:p>
    <w:p w14:paraId="67773CF0" w14:textId="77777777" w:rsidR="00733C05" w:rsidRDefault="00733C05">
      <w:pPr>
        <w:rPr>
          <w:b/>
          <w:sz w:val="24"/>
          <w:szCs w:val="24"/>
        </w:rPr>
      </w:pPr>
    </w:p>
    <w:p w14:paraId="6469AAA9" w14:textId="77777777" w:rsidR="00733C05" w:rsidRDefault="008606ED" w:rsidP="00C6670B">
      <w:pPr>
        <w:pStyle w:val="Heading1"/>
      </w:pPr>
      <w:r>
        <w:br w:type="page"/>
      </w:r>
      <w:bookmarkStart w:id="3" w:name="_Toc462324605"/>
      <w:r w:rsidR="00733C05">
        <w:lastRenderedPageBreak/>
        <w:t>Type of assessment</w:t>
      </w:r>
      <w:bookmarkEnd w:id="3"/>
    </w:p>
    <w:tbl>
      <w:tblPr>
        <w:tblStyle w:val="TableGrid"/>
        <w:tblW w:w="9484" w:type="dxa"/>
        <w:tblLook w:val="04A0" w:firstRow="1" w:lastRow="0" w:firstColumn="1" w:lastColumn="0" w:noHBand="0" w:noVBand="1"/>
      </w:tblPr>
      <w:tblGrid>
        <w:gridCol w:w="985"/>
        <w:gridCol w:w="3798"/>
        <w:gridCol w:w="4701"/>
      </w:tblGrid>
      <w:tr w:rsidR="00733C05" w:rsidRPr="00733C05" w14:paraId="1B746F93" w14:textId="77777777" w:rsidTr="00C6670B">
        <w:tc>
          <w:tcPr>
            <w:tcW w:w="985" w:type="dxa"/>
            <w:tcBorders>
              <w:bottom w:val="single" w:sz="4" w:space="0" w:color="auto"/>
            </w:tcBorders>
            <w:shd w:val="clear" w:color="auto" w:fill="FFFF00"/>
          </w:tcPr>
          <w:p w14:paraId="44C50FAD" w14:textId="77777777" w:rsidR="00733C05" w:rsidRPr="00733C05" w:rsidRDefault="00290F5A">
            <w:pPr>
              <w:rPr>
                <w:b/>
                <w:sz w:val="24"/>
                <w:szCs w:val="24"/>
              </w:rPr>
            </w:pPr>
            <w:r>
              <w:rPr>
                <w:b/>
                <w:sz w:val="24"/>
                <w:szCs w:val="24"/>
              </w:rPr>
              <w:t>AQA</w:t>
            </w:r>
          </w:p>
        </w:tc>
        <w:tc>
          <w:tcPr>
            <w:tcW w:w="3798" w:type="dxa"/>
            <w:shd w:val="clear" w:color="auto" w:fill="FFE599" w:themeFill="accent4" w:themeFillTint="66"/>
          </w:tcPr>
          <w:p w14:paraId="56F74A78" w14:textId="77777777" w:rsidR="00733C05" w:rsidRPr="00733C05" w:rsidRDefault="00290F5A">
            <w:pPr>
              <w:rPr>
                <w:b/>
                <w:sz w:val="24"/>
                <w:szCs w:val="24"/>
              </w:rPr>
            </w:pPr>
            <w:r>
              <w:rPr>
                <w:b/>
                <w:sz w:val="24"/>
                <w:szCs w:val="24"/>
              </w:rPr>
              <w:t>N</w:t>
            </w:r>
            <w:r w:rsidR="0006323B">
              <w:rPr>
                <w:b/>
                <w:sz w:val="24"/>
                <w:szCs w:val="24"/>
              </w:rPr>
              <w:t xml:space="preserve">ew </w:t>
            </w:r>
            <w:r>
              <w:rPr>
                <w:b/>
                <w:sz w:val="24"/>
                <w:szCs w:val="24"/>
              </w:rPr>
              <w:t>proposed assessment</w:t>
            </w:r>
          </w:p>
        </w:tc>
        <w:tc>
          <w:tcPr>
            <w:tcW w:w="4701" w:type="dxa"/>
            <w:shd w:val="clear" w:color="auto" w:fill="FFE599" w:themeFill="accent4" w:themeFillTint="66"/>
          </w:tcPr>
          <w:p w14:paraId="67F0C9A3" w14:textId="77777777" w:rsidR="00733C05" w:rsidRPr="00733C05" w:rsidRDefault="0006323B">
            <w:pPr>
              <w:rPr>
                <w:b/>
                <w:sz w:val="24"/>
                <w:szCs w:val="24"/>
              </w:rPr>
            </w:pPr>
            <w:r>
              <w:rPr>
                <w:b/>
                <w:sz w:val="24"/>
                <w:szCs w:val="24"/>
              </w:rPr>
              <w:t>Our view</w:t>
            </w:r>
            <w:r w:rsidR="008606ED">
              <w:rPr>
                <w:b/>
                <w:sz w:val="24"/>
                <w:szCs w:val="24"/>
              </w:rPr>
              <w:t xml:space="preserve"> on AQA assessment</w:t>
            </w:r>
          </w:p>
        </w:tc>
      </w:tr>
      <w:tr w:rsidR="00733C05" w14:paraId="6B47D2B9" w14:textId="77777777" w:rsidTr="00C6670B">
        <w:tc>
          <w:tcPr>
            <w:tcW w:w="985" w:type="dxa"/>
            <w:shd w:val="clear" w:color="auto" w:fill="FFE599" w:themeFill="accent4" w:themeFillTint="66"/>
            <w:vAlign w:val="center"/>
          </w:tcPr>
          <w:p w14:paraId="5CE90975" w14:textId="77777777" w:rsidR="00733C05" w:rsidRPr="00733C05" w:rsidRDefault="00733C05">
            <w:pPr>
              <w:rPr>
                <w:b/>
                <w:sz w:val="24"/>
                <w:szCs w:val="24"/>
              </w:rPr>
            </w:pPr>
            <w:r w:rsidRPr="00733C05">
              <w:rPr>
                <w:b/>
                <w:sz w:val="24"/>
                <w:szCs w:val="24"/>
              </w:rPr>
              <w:t>AS</w:t>
            </w:r>
          </w:p>
        </w:tc>
        <w:tc>
          <w:tcPr>
            <w:tcW w:w="3798" w:type="dxa"/>
          </w:tcPr>
          <w:p w14:paraId="731CAA0A" w14:textId="77777777" w:rsidR="00290F5A" w:rsidRDefault="0006323B">
            <w:pPr>
              <w:rPr>
                <w:sz w:val="20"/>
                <w:szCs w:val="20"/>
              </w:rPr>
            </w:pPr>
            <w:r>
              <w:rPr>
                <w:sz w:val="20"/>
                <w:szCs w:val="20"/>
              </w:rPr>
              <w:t>One</w:t>
            </w:r>
            <w:r w:rsidR="00DF2669" w:rsidRPr="00DF2669">
              <w:rPr>
                <w:sz w:val="20"/>
                <w:szCs w:val="20"/>
              </w:rPr>
              <w:t xml:space="preserve"> single paper of 3 hours that combines all elements from the AS specification</w:t>
            </w:r>
            <w:r w:rsidR="00DF2669">
              <w:rPr>
                <w:sz w:val="20"/>
                <w:szCs w:val="20"/>
              </w:rPr>
              <w:t>, with a total of 98 marks</w:t>
            </w:r>
            <w:r>
              <w:rPr>
                <w:sz w:val="20"/>
                <w:szCs w:val="20"/>
              </w:rPr>
              <w:t xml:space="preserve">. </w:t>
            </w:r>
          </w:p>
          <w:p w14:paraId="2DB427FC" w14:textId="77777777" w:rsidR="00290F5A" w:rsidRDefault="00290F5A">
            <w:pPr>
              <w:rPr>
                <w:sz w:val="20"/>
                <w:szCs w:val="20"/>
              </w:rPr>
            </w:pPr>
          </w:p>
          <w:p w14:paraId="736ECD2E" w14:textId="77777777" w:rsidR="00290F5A" w:rsidRDefault="0006323B">
            <w:pPr>
              <w:rPr>
                <w:sz w:val="20"/>
                <w:szCs w:val="20"/>
              </w:rPr>
            </w:pPr>
            <w:r>
              <w:rPr>
                <w:sz w:val="20"/>
                <w:szCs w:val="20"/>
              </w:rPr>
              <w:t>Section A focuses on the “government” element</w:t>
            </w:r>
            <w:r w:rsidR="008606ED">
              <w:rPr>
                <w:sz w:val="20"/>
                <w:szCs w:val="20"/>
              </w:rPr>
              <w:t xml:space="preserve">, and includes a short piece of stimulus material followed by 2 questions worth 6 marks each (testing knowledge) and </w:t>
            </w:r>
            <w:proofErr w:type="gramStart"/>
            <w:r w:rsidR="008606ED">
              <w:rPr>
                <w:sz w:val="20"/>
                <w:szCs w:val="20"/>
              </w:rPr>
              <w:t>12 mark</w:t>
            </w:r>
            <w:proofErr w:type="gramEnd"/>
            <w:r w:rsidR="008606ED">
              <w:rPr>
                <w:sz w:val="20"/>
                <w:szCs w:val="20"/>
              </w:rPr>
              <w:t xml:space="preserve"> question requiring some analysis, and then a choice of 1 essay from 2, worth 25 marks. </w:t>
            </w:r>
          </w:p>
          <w:p w14:paraId="7CC2475B" w14:textId="77777777" w:rsidR="00290F5A" w:rsidRDefault="00290F5A">
            <w:pPr>
              <w:rPr>
                <w:sz w:val="20"/>
                <w:szCs w:val="20"/>
              </w:rPr>
            </w:pPr>
          </w:p>
          <w:p w14:paraId="443872C2" w14:textId="77777777" w:rsidR="00DF2669" w:rsidRPr="0006323B" w:rsidRDefault="0006323B">
            <w:pPr>
              <w:rPr>
                <w:sz w:val="20"/>
                <w:szCs w:val="20"/>
              </w:rPr>
            </w:pPr>
            <w:r>
              <w:rPr>
                <w:sz w:val="20"/>
                <w:szCs w:val="20"/>
              </w:rPr>
              <w:t xml:space="preserve">Section B </w:t>
            </w:r>
            <w:r w:rsidR="008606ED">
              <w:rPr>
                <w:sz w:val="20"/>
                <w:szCs w:val="20"/>
              </w:rPr>
              <w:t>tests</w:t>
            </w:r>
            <w:r>
              <w:rPr>
                <w:sz w:val="20"/>
                <w:szCs w:val="20"/>
              </w:rPr>
              <w:t xml:space="preserve"> the “politics” element</w:t>
            </w:r>
            <w:r w:rsidR="008606ED">
              <w:rPr>
                <w:sz w:val="20"/>
                <w:szCs w:val="20"/>
              </w:rPr>
              <w:t>, and follows an identical structure to Section A (although there is no stimulus material)</w:t>
            </w:r>
            <w:r>
              <w:rPr>
                <w:sz w:val="20"/>
                <w:szCs w:val="20"/>
              </w:rPr>
              <w:t xml:space="preserve">. </w:t>
            </w:r>
          </w:p>
          <w:p w14:paraId="44974A54" w14:textId="77777777" w:rsidR="00DF2669" w:rsidRPr="00DF2669" w:rsidRDefault="00DF2669">
            <w:pPr>
              <w:rPr>
                <w:sz w:val="20"/>
                <w:szCs w:val="20"/>
              </w:rPr>
            </w:pPr>
          </w:p>
        </w:tc>
        <w:tc>
          <w:tcPr>
            <w:tcW w:w="4701" w:type="dxa"/>
          </w:tcPr>
          <w:p w14:paraId="7B0B47C9" w14:textId="77777777" w:rsidR="008606ED" w:rsidRDefault="0006323B">
            <w:pPr>
              <w:rPr>
                <w:sz w:val="20"/>
                <w:szCs w:val="20"/>
              </w:rPr>
            </w:pPr>
            <w:r>
              <w:rPr>
                <w:sz w:val="20"/>
                <w:szCs w:val="20"/>
              </w:rPr>
              <w:t xml:space="preserve">The move to a single </w:t>
            </w:r>
            <w:proofErr w:type="gramStart"/>
            <w:r>
              <w:rPr>
                <w:sz w:val="20"/>
                <w:szCs w:val="20"/>
              </w:rPr>
              <w:t>3 hour</w:t>
            </w:r>
            <w:proofErr w:type="gramEnd"/>
            <w:r>
              <w:rPr>
                <w:sz w:val="20"/>
                <w:szCs w:val="20"/>
              </w:rPr>
              <w:t xml:space="preserve"> paper, away from two 1.5 hour papers as is currently the case with the legacy spec is likely to prove challenging, although may be an appropriate ‘stretch’ for more able candidates. </w:t>
            </w:r>
          </w:p>
          <w:p w14:paraId="7ACDF0F6" w14:textId="77777777" w:rsidR="008606ED" w:rsidRDefault="008606ED">
            <w:pPr>
              <w:rPr>
                <w:sz w:val="20"/>
                <w:szCs w:val="20"/>
              </w:rPr>
            </w:pPr>
          </w:p>
          <w:p w14:paraId="49A212D0" w14:textId="77777777" w:rsidR="00733C05" w:rsidRDefault="0006323B">
            <w:pPr>
              <w:rPr>
                <w:sz w:val="20"/>
                <w:szCs w:val="20"/>
              </w:rPr>
            </w:pPr>
            <w:r>
              <w:rPr>
                <w:sz w:val="20"/>
                <w:szCs w:val="20"/>
              </w:rPr>
              <w:t>For centres currently teaching the AQA legacy paper</w:t>
            </w:r>
            <w:r w:rsidR="008606ED">
              <w:rPr>
                <w:sz w:val="20"/>
                <w:szCs w:val="20"/>
              </w:rPr>
              <w:t xml:space="preserve">, there is now no choice for candidates in terms of which topics they tackle in the exam (other than the essay questions, which can be drawn from anywhere in the specification). This will necessarily increase teaching time for many centres, who previously have chosen not to teach the political parties topic of the legacy Unit 1 and the multi-level governance topic of the legacy Unit 2. The wording of questions looks very similar to the legacy specifications. </w:t>
            </w:r>
          </w:p>
          <w:p w14:paraId="69B8A2BB" w14:textId="77777777" w:rsidR="00290F5A" w:rsidRPr="0006323B" w:rsidRDefault="00290F5A">
            <w:pPr>
              <w:rPr>
                <w:sz w:val="20"/>
                <w:szCs w:val="20"/>
              </w:rPr>
            </w:pPr>
          </w:p>
        </w:tc>
      </w:tr>
      <w:tr w:rsidR="00733C05" w14:paraId="095B0345" w14:textId="77777777" w:rsidTr="00C6670B">
        <w:tc>
          <w:tcPr>
            <w:tcW w:w="985" w:type="dxa"/>
            <w:shd w:val="clear" w:color="auto" w:fill="FFE599" w:themeFill="accent4" w:themeFillTint="66"/>
            <w:vAlign w:val="center"/>
          </w:tcPr>
          <w:p w14:paraId="3D6BE789" w14:textId="77777777" w:rsidR="00733C05" w:rsidRPr="00733C05" w:rsidRDefault="00733C05">
            <w:pPr>
              <w:rPr>
                <w:b/>
                <w:sz w:val="24"/>
                <w:szCs w:val="24"/>
              </w:rPr>
            </w:pPr>
            <w:r w:rsidRPr="00733C05">
              <w:rPr>
                <w:b/>
                <w:sz w:val="24"/>
                <w:szCs w:val="24"/>
              </w:rPr>
              <w:t>A Level</w:t>
            </w:r>
          </w:p>
        </w:tc>
        <w:tc>
          <w:tcPr>
            <w:tcW w:w="3798" w:type="dxa"/>
          </w:tcPr>
          <w:p w14:paraId="6F9E54FF" w14:textId="77777777" w:rsidR="00733C05" w:rsidRDefault="008606ED">
            <w:pPr>
              <w:rPr>
                <w:sz w:val="20"/>
                <w:szCs w:val="20"/>
              </w:rPr>
            </w:pPr>
            <w:r>
              <w:rPr>
                <w:sz w:val="20"/>
                <w:szCs w:val="20"/>
              </w:rPr>
              <w:t>There are three compulsory papers; each paper is 2 hours in length and has a total of 77 marks.</w:t>
            </w:r>
          </w:p>
          <w:p w14:paraId="282FBFDC" w14:textId="77777777" w:rsidR="008606ED" w:rsidRDefault="008606ED">
            <w:pPr>
              <w:rPr>
                <w:sz w:val="20"/>
                <w:szCs w:val="20"/>
              </w:rPr>
            </w:pPr>
          </w:p>
          <w:p w14:paraId="4AE03343" w14:textId="77777777" w:rsidR="008606ED" w:rsidRDefault="008606ED">
            <w:pPr>
              <w:rPr>
                <w:sz w:val="20"/>
                <w:szCs w:val="20"/>
              </w:rPr>
            </w:pPr>
            <w:r w:rsidRPr="008606ED">
              <w:rPr>
                <w:b/>
                <w:sz w:val="20"/>
                <w:szCs w:val="20"/>
              </w:rPr>
              <w:t>Paper 1</w:t>
            </w:r>
            <w:r>
              <w:rPr>
                <w:sz w:val="20"/>
                <w:szCs w:val="20"/>
              </w:rPr>
              <w:t xml:space="preserve"> covers all of the AS material (UK politics). Section A comprises 3 compulsory short-answer 9 mark questions testing AO1 and AO2 on any of the UK politics content. Section B requires students to answer 1 compulsory </w:t>
            </w:r>
            <w:proofErr w:type="gramStart"/>
            <w:r>
              <w:rPr>
                <w:sz w:val="20"/>
                <w:szCs w:val="20"/>
              </w:rPr>
              <w:t>25 mark</w:t>
            </w:r>
            <w:proofErr w:type="gramEnd"/>
            <w:r>
              <w:rPr>
                <w:sz w:val="20"/>
                <w:szCs w:val="20"/>
              </w:rPr>
              <w:t xml:space="preserve"> essay question based on a short piece of unseen stimulus material. Section C requires students to select 1 essay question worth 25 marks from a choice of 2.</w:t>
            </w:r>
          </w:p>
          <w:p w14:paraId="161B711A" w14:textId="77777777" w:rsidR="008606ED" w:rsidRDefault="008606ED">
            <w:pPr>
              <w:rPr>
                <w:sz w:val="20"/>
                <w:szCs w:val="20"/>
              </w:rPr>
            </w:pPr>
          </w:p>
          <w:p w14:paraId="35CEAB2B" w14:textId="77777777" w:rsidR="008606ED" w:rsidRDefault="008606ED">
            <w:pPr>
              <w:rPr>
                <w:sz w:val="20"/>
                <w:szCs w:val="20"/>
              </w:rPr>
            </w:pPr>
            <w:r>
              <w:rPr>
                <w:b/>
                <w:sz w:val="20"/>
                <w:szCs w:val="20"/>
              </w:rPr>
              <w:t xml:space="preserve">Paper 2 </w:t>
            </w:r>
            <w:r>
              <w:rPr>
                <w:sz w:val="20"/>
                <w:szCs w:val="20"/>
              </w:rPr>
              <w:t>is “The government and politics of the USA and comparative politics”. The structure is exactly the same as that of Paper 1, with short answers, followed by an essay based on stimulus material, and then a Section C choice of 1 from 2 essays. In Section C, the essays require students to compare and contrast features of the US system with the UK system.</w:t>
            </w:r>
          </w:p>
          <w:p w14:paraId="5489575A" w14:textId="77777777" w:rsidR="008606ED" w:rsidRDefault="008606ED">
            <w:pPr>
              <w:rPr>
                <w:sz w:val="20"/>
                <w:szCs w:val="20"/>
              </w:rPr>
            </w:pPr>
          </w:p>
          <w:p w14:paraId="33E90385" w14:textId="77777777" w:rsidR="008606ED" w:rsidRPr="008606ED" w:rsidRDefault="008606ED">
            <w:pPr>
              <w:rPr>
                <w:sz w:val="20"/>
                <w:szCs w:val="20"/>
              </w:rPr>
            </w:pPr>
            <w:r>
              <w:rPr>
                <w:b/>
                <w:sz w:val="20"/>
                <w:szCs w:val="20"/>
              </w:rPr>
              <w:t xml:space="preserve">Paper 3 </w:t>
            </w:r>
            <w:r>
              <w:rPr>
                <w:sz w:val="20"/>
                <w:szCs w:val="20"/>
              </w:rPr>
              <w:t xml:space="preserve">is “Political Ideas”. Section A, as in the other 2 papers, comprises 3 short-answer 9 mark questions based on the compulsory ideologies of Conservatism, Liberalism and Socialism. Section B is a </w:t>
            </w:r>
            <w:proofErr w:type="gramStart"/>
            <w:r>
              <w:rPr>
                <w:sz w:val="20"/>
                <w:szCs w:val="20"/>
              </w:rPr>
              <w:t>25 mark</w:t>
            </w:r>
            <w:proofErr w:type="gramEnd"/>
            <w:r>
              <w:rPr>
                <w:sz w:val="20"/>
                <w:szCs w:val="20"/>
              </w:rPr>
              <w:t xml:space="preserve"> essay question based on stimulus material. Section C offers students 5 essays, 1 from each optional ideology (feminism, multiculturalism, </w:t>
            </w:r>
            <w:proofErr w:type="spellStart"/>
            <w:r>
              <w:rPr>
                <w:sz w:val="20"/>
                <w:szCs w:val="20"/>
              </w:rPr>
              <w:t>ecologism</w:t>
            </w:r>
            <w:proofErr w:type="spellEnd"/>
            <w:r>
              <w:rPr>
                <w:sz w:val="20"/>
                <w:szCs w:val="20"/>
              </w:rPr>
              <w:t>, nationalism, anarchism)</w:t>
            </w:r>
          </w:p>
        </w:tc>
        <w:tc>
          <w:tcPr>
            <w:tcW w:w="4701" w:type="dxa"/>
          </w:tcPr>
          <w:p w14:paraId="0D38C768" w14:textId="77777777" w:rsidR="008606ED" w:rsidRDefault="008606ED">
            <w:pPr>
              <w:rPr>
                <w:sz w:val="20"/>
                <w:szCs w:val="20"/>
              </w:rPr>
            </w:pPr>
            <w:r>
              <w:rPr>
                <w:sz w:val="20"/>
                <w:szCs w:val="20"/>
              </w:rPr>
              <w:t>The similar structure of the 3 papers will be reassuring to students. The lack of choice, compared with the legacy specification, may be less reassuring. The biggest challenge, in our view, is that students will need to know around 3 times as much material for the new A level linear exams than is currently the case for A2 exams. This is an inevitable consequence of the Ofqual changes to Politics A-level.</w:t>
            </w:r>
          </w:p>
          <w:p w14:paraId="56469C33" w14:textId="77777777" w:rsidR="008606ED" w:rsidRDefault="008606ED">
            <w:pPr>
              <w:rPr>
                <w:sz w:val="20"/>
                <w:szCs w:val="20"/>
              </w:rPr>
            </w:pPr>
          </w:p>
          <w:p w14:paraId="6DE32BF0" w14:textId="77777777" w:rsidR="00733C05" w:rsidRDefault="008606ED">
            <w:pPr>
              <w:rPr>
                <w:sz w:val="20"/>
                <w:szCs w:val="20"/>
              </w:rPr>
            </w:pPr>
            <w:r>
              <w:rPr>
                <w:sz w:val="20"/>
                <w:szCs w:val="20"/>
              </w:rPr>
              <w:t xml:space="preserve">The Specimen Assessment Material looks far less pretentious than the exam papers based on the legacy specification, which should make the A level exams more accessible than is currently the case – this is certainly one reason why AQA entry numbers have been consistently lower in recent years than Pearson Edexcel. </w:t>
            </w:r>
            <w:r w:rsidR="00290F5A">
              <w:rPr>
                <w:sz w:val="20"/>
                <w:szCs w:val="20"/>
              </w:rPr>
              <w:t>However, it is clear from reading the Specimen Assessment Paper Mark Schemes that the highest marks will still be awarded to students who go well above and beyond the specification, in terms of key terminology and concepts understood, and examples used.</w:t>
            </w:r>
          </w:p>
          <w:p w14:paraId="3F19871B" w14:textId="77777777" w:rsidR="00115C3E" w:rsidRDefault="00115C3E">
            <w:pPr>
              <w:rPr>
                <w:sz w:val="20"/>
                <w:szCs w:val="20"/>
              </w:rPr>
            </w:pPr>
          </w:p>
          <w:p w14:paraId="5160E675" w14:textId="77777777" w:rsidR="00115C3E" w:rsidRDefault="00115C3E">
            <w:pPr>
              <w:rPr>
                <w:sz w:val="20"/>
                <w:szCs w:val="20"/>
              </w:rPr>
            </w:pPr>
            <w:r>
              <w:rPr>
                <w:sz w:val="20"/>
                <w:szCs w:val="20"/>
              </w:rPr>
              <w:t>A clear one third of the total marks are available for the UK politics content (AS content) and one third for ideologies. The introduction of the UK/US comparative element in Paper 2 combines the marks available for US and UK knowledge.</w:t>
            </w:r>
          </w:p>
          <w:p w14:paraId="0D75F391" w14:textId="77777777" w:rsidR="008606ED" w:rsidRDefault="008606ED">
            <w:pPr>
              <w:rPr>
                <w:sz w:val="20"/>
                <w:szCs w:val="20"/>
              </w:rPr>
            </w:pPr>
          </w:p>
          <w:p w14:paraId="010DCC15" w14:textId="77777777" w:rsidR="00290F5A" w:rsidRPr="008606ED" w:rsidRDefault="008606ED">
            <w:pPr>
              <w:rPr>
                <w:sz w:val="20"/>
                <w:szCs w:val="20"/>
              </w:rPr>
            </w:pPr>
            <w:r>
              <w:rPr>
                <w:sz w:val="20"/>
                <w:szCs w:val="20"/>
              </w:rPr>
              <w:t xml:space="preserve">The papers themselves are nicely structured in terms of topics – students should have a clear understanding of what they specifically need to revise for each paper. </w:t>
            </w:r>
          </w:p>
        </w:tc>
      </w:tr>
    </w:tbl>
    <w:p w14:paraId="0399260B" w14:textId="77777777" w:rsidR="00733C05" w:rsidRPr="00733C05" w:rsidRDefault="00733C05">
      <w:pPr>
        <w:rPr>
          <w:sz w:val="24"/>
          <w:szCs w:val="24"/>
        </w:rPr>
      </w:pPr>
    </w:p>
    <w:tbl>
      <w:tblPr>
        <w:tblStyle w:val="TableGrid"/>
        <w:tblW w:w="9484" w:type="dxa"/>
        <w:tblLook w:val="04A0" w:firstRow="1" w:lastRow="0" w:firstColumn="1" w:lastColumn="0" w:noHBand="0" w:noVBand="1"/>
      </w:tblPr>
      <w:tblGrid>
        <w:gridCol w:w="988"/>
        <w:gridCol w:w="3799"/>
        <w:gridCol w:w="4697"/>
      </w:tblGrid>
      <w:tr w:rsidR="00290F5A" w:rsidRPr="00733C05" w14:paraId="73AC2F67" w14:textId="77777777" w:rsidTr="00C6670B">
        <w:tc>
          <w:tcPr>
            <w:tcW w:w="988" w:type="dxa"/>
            <w:tcBorders>
              <w:bottom w:val="single" w:sz="4" w:space="0" w:color="auto"/>
            </w:tcBorders>
            <w:shd w:val="clear" w:color="auto" w:fill="92D050"/>
          </w:tcPr>
          <w:p w14:paraId="255526E9" w14:textId="77777777" w:rsidR="00290F5A" w:rsidRPr="00733C05" w:rsidRDefault="00290F5A" w:rsidP="00582B79">
            <w:pPr>
              <w:rPr>
                <w:b/>
                <w:sz w:val="24"/>
                <w:szCs w:val="24"/>
              </w:rPr>
            </w:pPr>
            <w:r>
              <w:rPr>
                <w:b/>
                <w:sz w:val="24"/>
                <w:szCs w:val="24"/>
              </w:rPr>
              <w:lastRenderedPageBreak/>
              <w:t>Edexcel</w:t>
            </w:r>
          </w:p>
        </w:tc>
        <w:tc>
          <w:tcPr>
            <w:tcW w:w="3799" w:type="dxa"/>
            <w:shd w:val="clear" w:color="auto" w:fill="C5E0B3" w:themeFill="accent6" w:themeFillTint="66"/>
          </w:tcPr>
          <w:p w14:paraId="4EC28F99" w14:textId="77777777" w:rsidR="00290F5A" w:rsidRPr="00733C05" w:rsidRDefault="00290F5A" w:rsidP="00582B79">
            <w:pPr>
              <w:rPr>
                <w:b/>
                <w:sz w:val="24"/>
                <w:szCs w:val="24"/>
              </w:rPr>
            </w:pPr>
            <w:r>
              <w:rPr>
                <w:b/>
                <w:sz w:val="24"/>
                <w:szCs w:val="24"/>
              </w:rPr>
              <w:t>New proposed assessment</w:t>
            </w:r>
          </w:p>
        </w:tc>
        <w:tc>
          <w:tcPr>
            <w:tcW w:w="4697" w:type="dxa"/>
            <w:shd w:val="clear" w:color="auto" w:fill="C5E0B3" w:themeFill="accent6" w:themeFillTint="66"/>
          </w:tcPr>
          <w:p w14:paraId="190BC5B3" w14:textId="77777777" w:rsidR="00290F5A" w:rsidRPr="00733C05" w:rsidRDefault="00290F5A" w:rsidP="00582B79">
            <w:pPr>
              <w:rPr>
                <w:b/>
                <w:sz w:val="24"/>
                <w:szCs w:val="24"/>
              </w:rPr>
            </w:pPr>
            <w:r>
              <w:rPr>
                <w:b/>
                <w:sz w:val="24"/>
                <w:szCs w:val="24"/>
              </w:rPr>
              <w:t>Our view</w:t>
            </w:r>
            <w:r w:rsidR="00BA7997">
              <w:rPr>
                <w:b/>
                <w:sz w:val="24"/>
                <w:szCs w:val="24"/>
              </w:rPr>
              <w:t xml:space="preserve"> on Edexcel </w:t>
            </w:r>
            <w:r>
              <w:rPr>
                <w:b/>
                <w:sz w:val="24"/>
                <w:szCs w:val="24"/>
              </w:rPr>
              <w:t>assessment</w:t>
            </w:r>
          </w:p>
        </w:tc>
      </w:tr>
      <w:tr w:rsidR="00290F5A" w14:paraId="76C1DD96" w14:textId="77777777" w:rsidTr="00C6670B">
        <w:tc>
          <w:tcPr>
            <w:tcW w:w="988" w:type="dxa"/>
            <w:shd w:val="clear" w:color="auto" w:fill="C5E0B3" w:themeFill="accent6" w:themeFillTint="66"/>
            <w:vAlign w:val="center"/>
          </w:tcPr>
          <w:p w14:paraId="2FA37848" w14:textId="77777777" w:rsidR="00290F5A" w:rsidRPr="00733C05" w:rsidRDefault="00290F5A" w:rsidP="00582B79">
            <w:pPr>
              <w:rPr>
                <w:b/>
                <w:sz w:val="24"/>
                <w:szCs w:val="24"/>
              </w:rPr>
            </w:pPr>
            <w:r w:rsidRPr="00733C05">
              <w:rPr>
                <w:b/>
                <w:sz w:val="24"/>
                <w:szCs w:val="24"/>
              </w:rPr>
              <w:t>AS</w:t>
            </w:r>
          </w:p>
        </w:tc>
        <w:tc>
          <w:tcPr>
            <w:tcW w:w="3799" w:type="dxa"/>
          </w:tcPr>
          <w:p w14:paraId="2D4A315B" w14:textId="77777777" w:rsidR="00290F5A" w:rsidRDefault="00BA7997" w:rsidP="00582B79">
            <w:pPr>
              <w:rPr>
                <w:sz w:val="20"/>
                <w:szCs w:val="20"/>
              </w:rPr>
            </w:pPr>
            <w:r>
              <w:rPr>
                <w:sz w:val="20"/>
                <w:szCs w:val="20"/>
              </w:rPr>
              <w:t>There are two papers, each 1.5 hours in length, and consisting of 60 marks.</w:t>
            </w:r>
          </w:p>
          <w:p w14:paraId="125449AD" w14:textId="77777777" w:rsidR="00BA7997" w:rsidRDefault="00BA7997" w:rsidP="00582B79">
            <w:pPr>
              <w:rPr>
                <w:sz w:val="20"/>
                <w:szCs w:val="20"/>
              </w:rPr>
            </w:pPr>
          </w:p>
          <w:p w14:paraId="469B2E9D" w14:textId="77777777" w:rsidR="00BA7997" w:rsidRDefault="00BA7997" w:rsidP="00582B79">
            <w:pPr>
              <w:rPr>
                <w:sz w:val="20"/>
                <w:szCs w:val="20"/>
              </w:rPr>
            </w:pPr>
            <w:r>
              <w:rPr>
                <w:b/>
                <w:sz w:val="20"/>
                <w:szCs w:val="20"/>
              </w:rPr>
              <w:t xml:space="preserve">Paper 1 </w:t>
            </w:r>
            <w:r>
              <w:rPr>
                <w:sz w:val="20"/>
                <w:szCs w:val="20"/>
              </w:rPr>
              <w:t xml:space="preserve">is “UK Politics”. Section A comprises a choice of 1 from 2 “describe” questions worth 10 marks each. Section B comprises two compulsory short 10 mark questions that require students to undertake some analysis / assessment of unseen data. Finally, Section C comprises a choice of 1 from 2 essay questions worth 20 marks each. </w:t>
            </w:r>
          </w:p>
          <w:p w14:paraId="4A5822CA" w14:textId="77777777" w:rsidR="00BA7997" w:rsidRDefault="00BA7997" w:rsidP="00582B79">
            <w:pPr>
              <w:rPr>
                <w:sz w:val="20"/>
                <w:szCs w:val="20"/>
              </w:rPr>
            </w:pPr>
          </w:p>
          <w:p w14:paraId="323B6C7C" w14:textId="77777777" w:rsidR="00BA7997" w:rsidRPr="00BA7997" w:rsidRDefault="00BA7997" w:rsidP="00582B79">
            <w:pPr>
              <w:rPr>
                <w:sz w:val="20"/>
                <w:szCs w:val="20"/>
              </w:rPr>
            </w:pPr>
            <w:r>
              <w:rPr>
                <w:b/>
                <w:sz w:val="20"/>
                <w:szCs w:val="20"/>
              </w:rPr>
              <w:t xml:space="preserve">Paper 2 </w:t>
            </w:r>
            <w:r>
              <w:rPr>
                <w:sz w:val="20"/>
                <w:szCs w:val="20"/>
              </w:rPr>
              <w:t>is “UK Government”. The structure is identical to that of Paper 1.</w:t>
            </w:r>
          </w:p>
        </w:tc>
        <w:tc>
          <w:tcPr>
            <w:tcW w:w="4697" w:type="dxa"/>
          </w:tcPr>
          <w:p w14:paraId="2CBDA75E" w14:textId="77777777" w:rsidR="00030524" w:rsidRDefault="00BA7997" w:rsidP="00582B79">
            <w:pPr>
              <w:rPr>
                <w:sz w:val="20"/>
                <w:szCs w:val="20"/>
              </w:rPr>
            </w:pPr>
            <w:r>
              <w:rPr>
                <w:sz w:val="20"/>
                <w:szCs w:val="20"/>
              </w:rPr>
              <w:t xml:space="preserve">The retention of two separate papers, one for each of UK Politics and UK Government, makes the Edexcel AS offering accessible and manageable for students, as does the identical structure of each paper. </w:t>
            </w:r>
          </w:p>
          <w:p w14:paraId="02CA7E38" w14:textId="77777777" w:rsidR="00030524" w:rsidRDefault="00030524" w:rsidP="00582B79">
            <w:pPr>
              <w:rPr>
                <w:sz w:val="20"/>
                <w:szCs w:val="20"/>
              </w:rPr>
            </w:pPr>
          </w:p>
          <w:p w14:paraId="2D58DF3F" w14:textId="77777777" w:rsidR="00290F5A" w:rsidRDefault="00BA7997" w:rsidP="00582B79">
            <w:pPr>
              <w:rPr>
                <w:sz w:val="20"/>
                <w:szCs w:val="20"/>
              </w:rPr>
            </w:pPr>
            <w:r>
              <w:rPr>
                <w:sz w:val="20"/>
                <w:szCs w:val="20"/>
              </w:rPr>
              <w:t>Edexcel has also noted that they will be consistent in their use of ‘directive’ or ‘command’ words</w:t>
            </w:r>
            <w:r w:rsidR="00030524">
              <w:rPr>
                <w:sz w:val="20"/>
                <w:szCs w:val="20"/>
              </w:rPr>
              <w:t>, which will add further reassurance to students and centres about consistency between papers. This should help with teaching and revision.</w:t>
            </w:r>
          </w:p>
          <w:p w14:paraId="45793082" w14:textId="77777777" w:rsidR="00030524" w:rsidRDefault="00030524" w:rsidP="00582B79">
            <w:pPr>
              <w:rPr>
                <w:sz w:val="20"/>
                <w:szCs w:val="20"/>
              </w:rPr>
            </w:pPr>
          </w:p>
          <w:p w14:paraId="5546B3AE" w14:textId="77777777" w:rsidR="00030524" w:rsidRDefault="00030524" w:rsidP="00582B79">
            <w:pPr>
              <w:rPr>
                <w:sz w:val="20"/>
                <w:szCs w:val="20"/>
              </w:rPr>
            </w:pPr>
            <w:r>
              <w:rPr>
                <w:sz w:val="20"/>
                <w:szCs w:val="20"/>
              </w:rPr>
              <w:t>The choice of questions in 2 of the 3 sections provides some useful flexibility for students.</w:t>
            </w:r>
          </w:p>
          <w:p w14:paraId="14680CDB" w14:textId="77777777" w:rsidR="00030524" w:rsidRPr="0006323B" w:rsidRDefault="00030524" w:rsidP="00582B79">
            <w:pPr>
              <w:rPr>
                <w:sz w:val="20"/>
                <w:szCs w:val="20"/>
              </w:rPr>
            </w:pPr>
          </w:p>
        </w:tc>
      </w:tr>
      <w:tr w:rsidR="00290F5A" w14:paraId="41D3F148" w14:textId="77777777" w:rsidTr="00C6670B">
        <w:tc>
          <w:tcPr>
            <w:tcW w:w="988" w:type="dxa"/>
            <w:shd w:val="clear" w:color="auto" w:fill="C5E0B3" w:themeFill="accent6" w:themeFillTint="66"/>
            <w:vAlign w:val="center"/>
          </w:tcPr>
          <w:p w14:paraId="065EADE5" w14:textId="77777777" w:rsidR="00290F5A" w:rsidRPr="00733C05" w:rsidRDefault="00290F5A" w:rsidP="00582B79">
            <w:pPr>
              <w:rPr>
                <w:b/>
                <w:sz w:val="24"/>
                <w:szCs w:val="24"/>
              </w:rPr>
            </w:pPr>
            <w:r w:rsidRPr="00733C05">
              <w:rPr>
                <w:b/>
                <w:sz w:val="24"/>
                <w:szCs w:val="24"/>
              </w:rPr>
              <w:t>A Level</w:t>
            </w:r>
          </w:p>
        </w:tc>
        <w:tc>
          <w:tcPr>
            <w:tcW w:w="3799" w:type="dxa"/>
          </w:tcPr>
          <w:p w14:paraId="7941DAF7" w14:textId="77777777" w:rsidR="00290F5A" w:rsidRDefault="00030524" w:rsidP="00582B79">
            <w:pPr>
              <w:rPr>
                <w:sz w:val="20"/>
                <w:szCs w:val="20"/>
              </w:rPr>
            </w:pPr>
            <w:r>
              <w:rPr>
                <w:sz w:val="20"/>
                <w:szCs w:val="20"/>
              </w:rPr>
              <w:t>There are three papers, each 2 hours in length, and worth 84 marks.</w:t>
            </w:r>
          </w:p>
          <w:p w14:paraId="6E7A3F72" w14:textId="77777777" w:rsidR="00030524" w:rsidRDefault="00030524" w:rsidP="00582B79">
            <w:pPr>
              <w:rPr>
                <w:sz w:val="20"/>
                <w:szCs w:val="20"/>
              </w:rPr>
            </w:pPr>
          </w:p>
          <w:p w14:paraId="62E0F338" w14:textId="77777777" w:rsidR="00030524" w:rsidRDefault="00030524" w:rsidP="00582B79">
            <w:pPr>
              <w:rPr>
                <w:sz w:val="20"/>
                <w:szCs w:val="20"/>
              </w:rPr>
            </w:pPr>
            <w:r>
              <w:rPr>
                <w:b/>
                <w:sz w:val="20"/>
                <w:szCs w:val="20"/>
              </w:rPr>
              <w:t xml:space="preserve">Paper 1 </w:t>
            </w:r>
            <w:r>
              <w:rPr>
                <w:sz w:val="20"/>
                <w:szCs w:val="20"/>
              </w:rPr>
              <w:t xml:space="preserve">is “UK Politics and Core Political Ideas”. Section A tests the UK Politics element of the AS course, giving students some choice - 2 from 4 questions, each worth 30 marks, and requiring evaluation/AO3. Section B tests the compulsory ideologies, asking students to write one (difficult!) </w:t>
            </w:r>
            <w:proofErr w:type="gramStart"/>
            <w:r>
              <w:rPr>
                <w:sz w:val="20"/>
                <w:szCs w:val="20"/>
              </w:rPr>
              <w:t>24 mark</w:t>
            </w:r>
            <w:proofErr w:type="gramEnd"/>
            <w:r>
              <w:rPr>
                <w:sz w:val="20"/>
                <w:szCs w:val="20"/>
              </w:rPr>
              <w:t xml:space="preserve"> essay from a choice of 2. </w:t>
            </w:r>
          </w:p>
          <w:p w14:paraId="6ADFA074" w14:textId="77777777" w:rsidR="00030524" w:rsidRDefault="00030524" w:rsidP="00582B79">
            <w:pPr>
              <w:rPr>
                <w:sz w:val="20"/>
                <w:szCs w:val="20"/>
              </w:rPr>
            </w:pPr>
          </w:p>
          <w:p w14:paraId="201B7EAC" w14:textId="77777777" w:rsidR="00030524" w:rsidRDefault="00030524" w:rsidP="00582B79">
            <w:pPr>
              <w:rPr>
                <w:sz w:val="20"/>
                <w:szCs w:val="20"/>
              </w:rPr>
            </w:pPr>
            <w:r>
              <w:rPr>
                <w:b/>
                <w:sz w:val="20"/>
                <w:szCs w:val="20"/>
              </w:rPr>
              <w:t xml:space="preserve">Paper 2 </w:t>
            </w:r>
            <w:r>
              <w:rPr>
                <w:sz w:val="20"/>
                <w:szCs w:val="20"/>
              </w:rPr>
              <w:t xml:space="preserve">is structured identically to Paper 1. Section A tests the UK Government element of the AS course, and Section B tests the optional ideologies. Students are given a choice of 1 from 2 essays here, for each of the optional ideologies. </w:t>
            </w:r>
          </w:p>
          <w:p w14:paraId="59D76220" w14:textId="77777777" w:rsidR="00030524" w:rsidRDefault="00030524" w:rsidP="00582B79">
            <w:pPr>
              <w:rPr>
                <w:sz w:val="20"/>
                <w:szCs w:val="20"/>
              </w:rPr>
            </w:pPr>
          </w:p>
          <w:p w14:paraId="36DC5711" w14:textId="77777777" w:rsidR="00030524" w:rsidRPr="00030524" w:rsidRDefault="00030524" w:rsidP="00582B79">
            <w:pPr>
              <w:rPr>
                <w:sz w:val="20"/>
                <w:szCs w:val="20"/>
              </w:rPr>
            </w:pPr>
            <w:r>
              <w:rPr>
                <w:b/>
                <w:sz w:val="20"/>
                <w:szCs w:val="20"/>
              </w:rPr>
              <w:t xml:space="preserve">Paper 3 </w:t>
            </w:r>
            <w:r>
              <w:rPr>
                <w:sz w:val="20"/>
                <w:szCs w:val="20"/>
              </w:rPr>
              <w:t xml:space="preserve">covers either US Politics or Global Politics, depending on the option selected by centres. </w:t>
            </w:r>
            <w:r w:rsidRPr="00030524">
              <w:rPr>
                <w:b/>
                <w:sz w:val="20"/>
                <w:szCs w:val="20"/>
              </w:rPr>
              <w:t>Paper 3a</w:t>
            </w:r>
            <w:r>
              <w:rPr>
                <w:sz w:val="20"/>
                <w:szCs w:val="20"/>
              </w:rPr>
              <w:t xml:space="preserve"> is “Comparative Politics – USA” and Paper 3b </w:t>
            </w:r>
            <w:proofErr w:type="gramStart"/>
            <w:r>
              <w:rPr>
                <w:sz w:val="20"/>
                <w:szCs w:val="20"/>
              </w:rPr>
              <w:t>is .</w:t>
            </w:r>
            <w:proofErr w:type="gramEnd"/>
            <w:r>
              <w:rPr>
                <w:sz w:val="20"/>
                <w:szCs w:val="20"/>
              </w:rPr>
              <w:t xml:space="preserve"> In 3a, Section A gives students a choice of 1 from 2 12 mark questions asking them to examine differences between UK and US politics/government. Section B consists of 1 compulsory </w:t>
            </w:r>
            <w:proofErr w:type="gramStart"/>
            <w:r>
              <w:rPr>
                <w:sz w:val="20"/>
                <w:szCs w:val="20"/>
              </w:rPr>
              <w:t>12 mark</w:t>
            </w:r>
            <w:proofErr w:type="gramEnd"/>
            <w:r>
              <w:rPr>
                <w:sz w:val="20"/>
                <w:szCs w:val="20"/>
              </w:rPr>
              <w:t xml:space="preserve"> question based on a very short source, again comparing the US and UK. Section C requires students to write 2 30 mark essays from a choice of 3, entirely grounded in the politics and government of the USA.  </w:t>
            </w:r>
            <w:r>
              <w:rPr>
                <w:b/>
                <w:sz w:val="20"/>
                <w:szCs w:val="20"/>
              </w:rPr>
              <w:t xml:space="preserve">Paper 3b </w:t>
            </w:r>
            <w:r>
              <w:rPr>
                <w:sz w:val="20"/>
                <w:szCs w:val="20"/>
              </w:rPr>
              <w:t>is “Comparative Politics – Global Politics”. The structure is identical to that of Paper 3a, with elements drawn from across the Global Politics specification.</w:t>
            </w:r>
          </w:p>
        </w:tc>
        <w:tc>
          <w:tcPr>
            <w:tcW w:w="4697" w:type="dxa"/>
          </w:tcPr>
          <w:p w14:paraId="3E05012A" w14:textId="77777777" w:rsidR="00290F5A" w:rsidRDefault="00115C3E" w:rsidP="00582B79">
            <w:pPr>
              <w:rPr>
                <w:sz w:val="20"/>
                <w:szCs w:val="20"/>
              </w:rPr>
            </w:pPr>
            <w:r>
              <w:rPr>
                <w:sz w:val="20"/>
                <w:szCs w:val="20"/>
              </w:rPr>
              <w:t>The combination of topics in Paper 1 and Paper 2 looks rather odd with a fairly unnatural fit. This structure / juxtaposition of topics may well affect how centres choose to teach UK politics and ideologies, and may well render the AS and A level to be not properly “co-teachable” as intended. It is likely, though, that many centres will choose not to allow candidates to enter AS exams anyway, so this issue will not matter as much.</w:t>
            </w:r>
          </w:p>
          <w:p w14:paraId="610A87DD" w14:textId="77777777" w:rsidR="00115C3E" w:rsidRDefault="00115C3E" w:rsidP="00582B79">
            <w:pPr>
              <w:rPr>
                <w:sz w:val="20"/>
                <w:szCs w:val="20"/>
              </w:rPr>
            </w:pPr>
          </w:p>
          <w:p w14:paraId="6C0B20CB" w14:textId="77777777" w:rsidR="00115C3E" w:rsidRDefault="00115C3E" w:rsidP="00582B79">
            <w:pPr>
              <w:rPr>
                <w:sz w:val="20"/>
                <w:szCs w:val="20"/>
              </w:rPr>
            </w:pPr>
            <w:r>
              <w:rPr>
                <w:sz w:val="20"/>
                <w:szCs w:val="20"/>
              </w:rPr>
              <w:t>The UK politics element is worth just shy of 50% of the overall marks, with ideologies worth just under 20%, and US/Global worth a third – this seems right, given the likely focus on UK politics in the AS/first year of teaching. Most questions cover all Assessment Objectives.</w:t>
            </w:r>
          </w:p>
          <w:p w14:paraId="01F60117" w14:textId="77777777" w:rsidR="00115C3E" w:rsidRDefault="00115C3E" w:rsidP="00582B79">
            <w:pPr>
              <w:rPr>
                <w:sz w:val="20"/>
                <w:szCs w:val="20"/>
              </w:rPr>
            </w:pPr>
          </w:p>
          <w:p w14:paraId="55946DDA" w14:textId="77777777" w:rsidR="00115C3E" w:rsidRDefault="00115C3E" w:rsidP="00582B79">
            <w:pPr>
              <w:rPr>
                <w:sz w:val="20"/>
                <w:szCs w:val="20"/>
              </w:rPr>
            </w:pPr>
            <w:r>
              <w:rPr>
                <w:sz w:val="20"/>
                <w:szCs w:val="20"/>
              </w:rPr>
              <w:t>We think that the choice of questions available on each paper will help to bring out the best in students, and reduce risk.</w:t>
            </w:r>
          </w:p>
          <w:p w14:paraId="3A471B44" w14:textId="77777777" w:rsidR="00115C3E" w:rsidRDefault="00115C3E" w:rsidP="00582B79">
            <w:pPr>
              <w:rPr>
                <w:sz w:val="20"/>
                <w:szCs w:val="20"/>
              </w:rPr>
            </w:pPr>
          </w:p>
          <w:p w14:paraId="54EDCCBA" w14:textId="77777777" w:rsidR="00115C3E" w:rsidRPr="008606ED" w:rsidRDefault="00115C3E" w:rsidP="00582B79">
            <w:pPr>
              <w:rPr>
                <w:sz w:val="20"/>
                <w:szCs w:val="20"/>
              </w:rPr>
            </w:pPr>
            <w:r>
              <w:rPr>
                <w:sz w:val="20"/>
                <w:szCs w:val="20"/>
              </w:rPr>
              <w:t xml:space="preserve">We like the choice available to centres in terms of the topics available for Paper 3 – Global Politics has been growing in popularity in recent years, and arguably provides students with a better grounding in politics and international relations if they want to continue the subject in Higher Education. Many centres, though, will be more than comfortable with continuing US politics. </w:t>
            </w:r>
          </w:p>
        </w:tc>
      </w:tr>
    </w:tbl>
    <w:p w14:paraId="7ADC3EB4" w14:textId="77777777" w:rsidR="00C6670B" w:rsidRDefault="00C6670B" w:rsidP="007924CC">
      <w:pPr>
        <w:jc w:val="center"/>
        <w:rPr>
          <w:b/>
          <w:sz w:val="24"/>
          <w:szCs w:val="24"/>
        </w:rPr>
      </w:pPr>
    </w:p>
    <w:p w14:paraId="6E5E80A4" w14:textId="77777777" w:rsidR="00AB4DA6" w:rsidRDefault="007924CC" w:rsidP="00C6670B">
      <w:pPr>
        <w:pStyle w:val="Heading1"/>
      </w:pPr>
      <w:bookmarkStart w:id="4" w:name="_Toc462324606"/>
      <w:r>
        <w:lastRenderedPageBreak/>
        <w:t>Our Verdict</w:t>
      </w:r>
      <w:bookmarkEnd w:id="4"/>
    </w:p>
    <w:p w14:paraId="3A79FA28" w14:textId="77777777" w:rsidR="007924CC" w:rsidRDefault="007924CC" w:rsidP="007924CC">
      <w:pPr>
        <w:rPr>
          <w:b/>
          <w:sz w:val="24"/>
          <w:szCs w:val="24"/>
        </w:rPr>
      </w:pPr>
      <w:r>
        <w:rPr>
          <w:b/>
          <w:sz w:val="24"/>
          <w:szCs w:val="24"/>
        </w:rPr>
        <w:t>AQA summary</w:t>
      </w:r>
    </w:p>
    <w:p w14:paraId="747E9DA1" w14:textId="77777777" w:rsidR="007924CC" w:rsidRDefault="007924CC" w:rsidP="007924CC">
      <w:pPr>
        <w:rPr>
          <w:sz w:val="24"/>
          <w:szCs w:val="24"/>
        </w:rPr>
      </w:pPr>
      <w:r>
        <w:rPr>
          <w:sz w:val="24"/>
          <w:szCs w:val="24"/>
        </w:rPr>
        <w:t xml:space="preserve">The content of the proposed AS specification appears manageable, and doesn’t add too much in addition to the required additions from Ofqual. However, some areas of the specification look rather vague, leaving teachers and students unsure about the required depth – this has been an issue with the legacy specification for AQA, and sadly hasn’t been properly resolved. Having just one </w:t>
      </w:r>
      <w:proofErr w:type="gramStart"/>
      <w:r>
        <w:rPr>
          <w:sz w:val="24"/>
          <w:szCs w:val="24"/>
        </w:rPr>
        <w:t>3 hour</w:t>
      </w:r>
      <w:proofErr w:type="gramEnd"/>
      <w:r>
        <w:rPr>
          <w:sz w:val="24"/>
          <w:szCs w:val="24"/>
        </w:rPr>
        <w:t xml:space="preserve"> exam for the AS seems overly challenging, especially given the lack of choice on the one compulsory paper.</w:t>
      </w:r>
    </w:p>
    <w:p w14:paraId="3872262B" w14:textId="77777777" w:rsidR="007924CC" w:rsidRDefault="007924CC" w:rsidP="007924CC">
      <w:pPr>
        <w:rPr>
          <w:sz w:val="24"/>
          <w:szCs w:val="24"/>
        </w:rPr>
      </w:pPr>
      <w:r>
        <w:rPr>
          <w:sz w:val="24"/>
          <w:szCs w:val="24"/>
        </w:rPr>
        <w:t>That said, there is good scope for co-</w:t>
      </w:r>
      <w:proofErr w:type="spellStart"/>
      <w:r>
        <w:rPr>
          <w:sz w:val="24"/>
          <w:szCs w:val="24"/>
        </w:rPr>
        <w:t>teachability</w:t>
      </w:r>
      <w:proofErr w:type="spellEnd"/>
      <w:r>
        <w:rPr>
          <w:sz w:val="24"/>
          <w:szCs w:val="24"/>
        </w:rPr>
        <w:t xml:space="preserve"> between the AS and the A level, given that UK politics is tested in a standalone paper for the full linear A level. The questions on the 3 A level Specimen Assessment Materials are well written and more accessible (in terms of wording) than has been the case with the legacy specifications, although the ‘indicated content’ in the mark-schemes suggests strongly that teachers must go significantly beyond the specification for students to access the highest marks. The standardised structure of the A level papers, and the fact that the board appears to have added very little to the additional required US Politics and Ideologies content, means that the teaching load should be manageable. </w:t>
      </w:r>
    </w:p>
    <w:p w14:paraId="0E2F230E" w14:textId="77777777" w:rsidR="007924CC" w:rsidRDefault="007924CC" w:rsidP="007924CC">
      <w:pPr>
        <w:rPr>
          <w:b/>
          <w:sz w:val="24"/>
          <w:szCs w:val="24"/>
        </w:rPr>
      </w:pPr>
      <w:r>
        <w:rPr>
          <w:b/>
          <w:sz w:val="24"/>
          <w:szCs w:val="24"/>
        </w:rPr>
        <w:t>Pearson Edexcel summary</w:t>
      </w:r>
    </w:p>
    <w:p w14:paraId="416084FC" w14:textId="77777777" w:rsidR="007924CC" w:rsidRDefault="007924CC" w:rsidP="007924CC">
      <w:pPr>
        <w:rPr>
          <w:sz w:val="24"/>
          <w:szCs w:val="24"/>
        </w:rPr>
      </w:pPr>
      <w:proofErr w:type="gramStart"/>
      <w:r>
        <w:rPr>
          <w:sz w:val="24"/>
          <w:szCs w:val="24"/>
        </w:rPr>
        <w:t>Similarly</w:t>
      </w:r>
      <w:proofErr w:type="gramEnd"/>
      <w:r>
        <w:rPr>
          <w:sz w:val="24"/>
          <w:szCs w:val="24"/>
        </w:rPr>
        <w:t xml:space="preserve"> to the AQA proposed offering, the content of the AS specification looks manageable, and where there are any additions, they look topical and interesting. We particularly like the inclusion of a key terms glossary at the end of the AS specification (and A level specification) that will help teachers and students to define the boundaries of the set of knowledge required. The big winner here in terms of the AS qualification are the straightforward exams that closely mirror legacy papers and providing students with some choice in the exam.</w:t>
      </w:r>
    </w:p>
    <w:p w14:paraId="2EDA9A87" w14:textId="77777777" w:rsidR="007924CC" w:rsidRPr="007924CC" w:rsidRDefault="007924CC" w:rsidP="007924CC">
      <w:pPr>
        <w:rPr>
          <w:sz w:val="24"/>
          <w:szCs w:val="24"/>
        </w:rPr>
      </w:pPr>
      <w:r>
        <w:rPr>
          <w:sz w:val="24"/>
          <w:szCs w:val="24"/>
        </w:rPr>
        <w:t xml:space="preserve">The A level, though, may be slightly more problematic. For centres that will not be entering candidates for the AS qualification, it will likely make sense for students to be taught Component 1 (UK politics and compulsory ideologies) together, and Component 2 (UK government and optional ideologies) together – these don’t fit ‘naturally’, though. The content for the US politics option looks straightforward with no surprises. It is nice to see Edexcel retain the Global Politics option, although this looks more demanding than their previous legacy specification, and indeed, includes quite a bit more than required by Ofqual. This is likely to be the more demanding option, although arguably much more interesting. </w:t>
      </w:r>
    </w:p>
    <w:p w14:paraId="136704DD" w14:textId="77777777" w:rsidR="00AB4DA6" w:rsidRDefault="007924CC" w:rsidP="007924CC">
      <w:pPr>
        <w:rPr>
          <w:b/>
          <w:sz w:val="24"/>
          <w:szCs w:val="24"/>
        </w:rPr>
      </w:pPr>
      <w:r>
        <w:rPr>
          <w:b/>
          <w:sz w:val="24"/>
          <w:szCs w:val="24"/>
        </w:rPr>
        <w:t>Overall</w:t>
      </w:r>
    </w:p>
    <w:p w14:paraId="72324143" w14:textId="77777777" w:rsidR="007924CC" w:rsidRPr="007924CC" w:rsidRDefault="007924CC" w:rsidP="007924CC">
      <w:pPr>
        <w:rPr>
          <w:sz w:val="24"/>
          <w:szCs w:val="24"/>
        </w:rPr>
      </w:pPr>
      <w:r>
        <w:rPr>
          <w:sz w:val="24"/>
          <w:szCs w:val="24"/>
        </w:rPr>
        <w:t xml:space="preserve">We expect Edexcel to maintain, or increase, their market </w:t>
      </w:r>
      <w:proofErr w:type="gramStart"/>
      <w:r>
        <w:rPr>
          <w:sz w:val="24"/>
          <w:szCs w:val="24"/>
        </w:rPr>
        <w:t>share</w:t>
      </w:r>
      <w:proofErr w:type="gramEnd"/>
      <w:r>
        <w:rPr>
          <w:sz w:val="24"/>
          <w:szCs w:val="24"/>
        </w:rPr>
        <w:t xml:space="preserve"> despite the demise of the OCR specification. Centres will need to think very carefully about the order in which to teach topics, especially if teaching is shared between two teachers. Centres will also need to pay considerable thought to helping students retain AS/Year 1 knowledge through the Year 13 course. </w:t>
      </w:r>
    </w:p>
    <w:sectPr w:rsidR="007924CC" w:rsidRPr="007924CC" w:rsidSect="001C23F3">
      <w:headerReference w:type="default" r:id="rId11"/>
      <w:footerReference w:type="default" r:id="rId12"/>
      <w:pgSz w:w="11906" w:h="16838"/>
      <w:pgMar w:top="1701" w:right="1247" w:bottom="1361" w:left="147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465B4" w14:textId="77777777" w:rsidR="005078C9" w:rsidRDefault="005078C9" w:rsidP="00160F3E">
      <w:pPr>
        <w:spacing w:after="0" w:line="240" w:lineRule="auto"/>
      </w:pPr>
      <w:r>
        <w:separator/>
      </w:r>
    </w:p>
  </w:endnote>
  <w:endnote w:type="continuationSeparator" w:id="0">
    <w:p w14:paraId="65968D87" w14:textId="77777777" w:rsidR="005078C9" w:rsidRDefault="005078C9" w:rsidP="00160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478538"/>
      <w:docPartObj>
        <w:docPartGallery w:val="Page Numbers (Bottom of Page)"/>
        <w:docPartUnique/>
      </w:docPartObj>
    </w:sdtPr>
    <w:sdtEndPr/>
    <w:sdtContent>
      <w:sdt>
        <w:sdtPr>
          <w:id w:val="1728636285"/>
          <w:docPartObj>
            <w:docPartGallery w:val="Page Numbers (Top of Page)"/>
            <w:docPartUnique/>
          </w:docPartObj>
        </w:sdtPr>
        <w:sdtEndPr/>
        <w:sdtContent>
          <w:p w14:paraId="224F4B70" w14:textId="77777777" w:rsidR="00DF2669" w:rsidRDefault="00C6670B">
            <w:pPr>
              <w:pStyle w:val="Footer"/>
              <w:jc w:val="center"/>
            </w:pPr>
            <w:hyperlink r:id="rId1" w:history="1">
              <w:r w:rsidRPr="00AF23D1">
                <w:rPr>
                  <w:rStyle w:val="Hyperlink"/>
                </w:rPr>
                <w:t>www.tutor2u.net/politics</w:t>
              </w:r>
            </w:hyperlink>
            <w:r>
              <w:t xml:space="preserve">                                   </w:t>
            </w:r>
            <w:r w:rsidR="00DF2669">
              <w:t xml:space="preserve">Page </w:t>
            </w:r>
            <w:r w:rsidR="00DF2669">
              <w:rPr>
                <w:b/>
                <w:bCs/>
                <w:sz w:val="24"/>
                <w:szCs w:val="24"/>
              </w:rPr>
              <w:fldChar w:fldCharType="begin"/>
            </w:r>
            <w:r w:rsidR="00DF2669">
              <w:rPr>
                <w:b/>
                <w:bCs/>
              </w:rPr>
              <w:instrText xml:space="preserve"> PAGE </w:instrText>
            </w:r>
            <w:r w:rsidR="00DF2669">
              <w:rPr>
                <w:b/>
                <w:bCs/>
                <w:sz w:val="24"/>
                <w:szCs w:val="24"/>
              </w:rPr>
              <w:fldChar w:fldCharType="separate"/>
            </w:r>
            <w:r w:rsidR="001C23F3">
              <w:rPr>
                <w:b/>
                <w:bCs/>
                <w:noProof/>
              </w:rPr>
              <w:t>2</w:t>
            </w:r>
            <w:r w:rsidR="00DF2669">
              <w:rPr>
                <w:b/>
                <w:bCs/>
                <w:sz w:val="24"/>
                <w:szCs w:val="24"/>
              </w:rPr>
              <w:fldChar w:fldCharType="end"/>
            </w:r>
            <w:r w:rsidR="00DF2669">
              <w:t xml:space="preserve"> of </w:t>
            </w:r>
            <w:r w:rsidR="00DF2669">
              <w:rPr>
                <w:b/>
                <w:bCs/>
                <w:sz w:val="24"/>
                <w:szCs w:val="24"/>
              </w:rPr>
              <w:fldChar w:fldCharType="begin"/>
            </w:r>
            <w:r w:rsidR="00DF2669">
              <w:rPr>
                <w:b/>
                <w:bCs/>
              </w:rPr>
              <w:instrText xml:space="preserve"> NUMPAGES  </w:instrText>
            </w:r>
            <w:r w:rsidR="00DF2669">
              <w:rPr>
                <w:b/>
                <w:bCs/>
                <w:sz w:val="24"/>
                <w:szCs w:val="24"/>
              </w:rPr>
              <w:fldChar w:fldCharType="separate"/>
            </w:r>
            <w:r w:rsidR="001C23F3">
              <w:rPr>
                <w:b/>
                <w:bCs/>
                <w:noProof/>
              </w:rPr>
              <w:t>10</w:t>
            </w:r>
            <w:r w:rsidR="00DF2669">
              <w:rPr>
                <w:b/>
                <w:bCs/>
                <w:sz w:val="24"/>
                <w:szCs w:val="24"/>
              </w:rPr>
              <w:fldChar w:fldCharType="end"/>
            </w:r>
          </w:p>
        </w:sdtContent>
      </w:sdt>
    </w:sdtContent>
  </w:sdt>
  <w:p w14:paraId="570DC6B3" w14:textId="77777777" w:rsidR="00DF2669" w:rsidRDefault="00DF266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DF782" w14:textId="77777777" w:rsidR="005078C9" w:rsidRDefault="005078C9" w:rsidP="00160F3E">
      <w:pPr>
        <w:spacing w:after="0" w:line="240" w:lineRule="auto"/>
      </w:pPr>
      <w:r>
        <w:separator/>
      </w:r>
    </w:p>
  </w:footnote>
  <w:footnote w:type="continuationSeparator" w:id="0">
    <w:p w14:paraId="73E27433" w14:textId="77777777" w:rsidR="005078C9" w:rsidRDefault="005078C9" w:rsidP="00160F3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D0084" w14:textId="77777777" w:rsidR="00DF2669" w:rsidRDefault="00DF2669">
    <w:pPr>
      <w:pStyle w:val="Header"/>
    </w:pPr>
    <w:r>
      <w:t>Politics 2017 Specification Overview</w:t>
    </w:r>
    <w:r>
      <w:ptab w:relativeTo="margin" w:alignment="center" w:leader="none"/>
    </w:r>
    <w:r>
      <w:ptab w:relativeTo="margin" w:alignment="right" w:leader="none"/>
    </w:r>
    <w:r>
      <w:rPr>
        <w:noProof/>
        <w:lang w:val="en-US"/>
      </w:rPr>
      <w:drawing>
        <wp:inline distT="0" distB="0" distL="0" distR="0" wp14:anchorId="757219A0" wp14:editId="354DF8A0">
          <wp:extent cx="1228224" cy="373380"/>
          <wp:effectExtent l="0" t="0" r="0" b="7620"/>
          <wp:docPr id="2" name="Picture 2" descr="Image result for tutor2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utor2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969" cy="379383"/>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426F7"/>
    <w:multiLevelType w:val="hybridMultilevel"/>
    <w:tmpl w:val="18F61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8C3E93"/>
    <w:multiLevelType w:val="hybridMultilevel"/>
    <w:tmpl w:val="B36A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8C5A11"/>
    <w:multiLevelType w:val="hybridMultilevel"/>
    <w:tmpl w:val="2844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E35175"/>
    <w:multiLevelType w:val="hybridMultilevel"/>
    <w:tmpl w:val="598EF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3E23D8"/>
    <w:multiLevelType w:val="hybridMultilevel"/>
    <w:tmpl w:val="B44C5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E5482D"/>
    <w:multiLevelType w:val="hybridMultilevel"/>
    <w:tmpl w:val="56F2F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FCF1D2D"/>
    <w:multiLevelType w:val="hybridMultilevel"/>
    <w:tmpl w:val="1E10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9E02A5"/>
    <w:multiLevelType w:val="hybridMultilevel"/>
    <w:tmpl w:val="4EAC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A6D07C4"/>
    <w:multiLevelType w:val="hybridMultilevel"/>
    <w:tmpl w:val="5BAA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5"/>
  </w:num>
  <w:num w:numId="6">
    <w:abstractNumId w:val="1"/>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3E"/>
    <w:rsid w:val="00030524"/>
    <w:rsid w:val="0005322E"/>
    <w:rsid w:val="0006323B"/>
    <w:rsid w:val="000F5F7E"/>
    <w:rsid w:val="0010187E"/>
    <w:rsid w:val="00115C3E"/>
    <w:rsid w:val="00116D81"/>
    <w:rsid w:val="00132D6B"/>
    <w:rsid w:val="00160F3E"/>
    <w:rsid w:val="001C23F3"/>
    <w:rsid w:val="00232C7D"/>
    <w:rsid w:val="00290F5A"/>
    <w:rsid w:val="00301D3B"/>
    <w:rsid w:val="00320DA5"/>
    <w:rsid w:val="004B2146"/>
    <w:rsid w:val="005078C9"/>
    <w:rsid w:val="0054051C"/>
    <w:rsid w:val="00692AC7"/>
    <w:rsid w:val="006F6018"/>
    <w:rsid w:val="00707620"/>
    <w:rsid w:val="00733C05"/>
    <w:rsid w:val="007924CC"/>
    <w:rsid w:val="007C2138"/>
    <w:rsid w:val="008606ED"/>
    <w:rsid w:val="00930820"/>
    <w:rsid w:val="00984BF9"/>
    <w:rsid w:val="009A3854"/>
    <w:rsid w:val="00A80175"/>
    <w:rsid w:val="00A8582F"/>
    <w:rsid w:val="00AB4DA6"/>
    <w:rsid w:val="00B74305"/>
    <w:rsid w:val="00BA7997"/>
    <w:rsid w:val="00C30796"/>
    <w:rsid w:val="00C6670B"/>
    <w:rsid w:val="00CA768C"/>
    <w:rsid w:val="00D462D9"/>
    <w:rsid w:val="00DF2669"/>
    <w:rsid w:val="00FC1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E260"/>
  <w15:chartTrackingRefBased/>
  <w15:docId w15:val="{30B0AFA6-A8FE-45F7-A7AC-865C942F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70B"/>
    <w:pPr>
      <w:keepNext/>
      <w:keepLines/>
      <w:spacing w:before="240" w:after="18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F3E"/>
  </w:style>
  <w:style w:type="paragraph" w:styleId="Footer">
    <w:name w:val="footer"/>
    <w:basedOn w:val="Normal"/>
    <w:link w:val="FooterChar"/>
    <w:uiPriority w:val="99"/>
    <w:unhideWhenUsed/>
    <w:rsid w:val="00160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F3E"/>
  </w:style>
  <w:style w:type="table" w:styleId="TableGrid">
    <w:name w:val="Table Grid"/>
    <w:basedOn w:val="TableNormal"/>
    <w:uiPriority w:val="39"/>
    <w:rsid w:val="009A3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30820"/>
    <w:rPr>
      <w:color w:val="0563C1" w:themeColor="hyperlink"/>
      <w:u w:val="single"/>
    </w:rPr>
  </w:style>
  <w:style w:type="paragraph" w:styleId="ListParagraph">
    <w:name w:val="List Paragraph"/>
    <w:basedOn w:val="Normal"/>
    <w:uiPriority w:val="34"/>
    <w:qFormat/>
    <w:rsid w:val="0010187E"/>
    <w:pPr>
      <w:ind w:left="720"/>
      <w:contextualSpacing/>
    </w:pPr>
  </w:style>
  <w:style w:type="character" w:customStyle="1" w:styleId="Heading1Char">
    <w:name w:val="Heading 1 Char"/>
    <w:basedOn w:val="DefaultParagraphFont"/>
    <w:link w:val="Heading1"/>
    <w:uiPriority w:val="9"/>
    <w:rsid w:val="00C6670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C23F3"/>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1C23F3"/>
    <w:pPr>
      <w:spacing w:before="120" w:after="0"/>
    </w:pPr>
    <w:rPr>
      <w:b/>
      <w:bCs/>
      <w:sz w:val="24"/>
      <w:szCs w:val="24"/>
    </w:rPr>
  </w:style>
  <w:style w:type="paragraph" w:styleId="TOC2">
    <w:name w:val="toc 2"/>
    <w:basedOn w:val="Normal"/>
    <w:next w:val="Normal"/>
    <w:autoRedefine/>
    <w:uiPriority w:val="39"/>
    <w:semiHidden/>
    <w:unhideWhenUsed/>
    <w:rsid w:val="001C23F3"/>
    <w:pPr>
      <w:spacing w:after="0"/>
      <w:ind w:left="220"/>
    </w:pPr>
    <w:rPr>
      <w:b/>
      <w:bCs/>
    </w:rPr>
  </w:style>
  <w:style w:type="paragraph" w:styleId="TOC3">
    <w:name w:val="toc 3"/>
    <w:basedOn w:val="Normal"/>
    <w:next w:val="Normal"/>
    <w:autoRedefine/>
    <w:uiPriority w:val="39"/>
    <w:semiHidden/>
    <w:unhideWhenUsed/>
    <w:rsid w:val="001C23F3"/>
    <w:pPr>
      <w:spacing w:after="0"/>
      <w:ind w:left="440"/>
    </w:pPr>
  </w:style>
  <w:style w:type="paragraph" w:styleId="TOC4">
    <w:name w:val="toc 4"/>
    <w:basedOn w:val="Normal"/>
    <w:next w:val="Normal"/>
    <w:autoRedefine/>
    <w:uiPriority w:val="39"/>
    <w:semiHidden/>
    <w:unhideWhenUsed/>
    <w:rsid w:val="001C23F3"/>
    <w:pPr>
      <w:spacing w:after="0"/>
      <w:ind w:left="660"/>
    </w:pPr>
    <w:rPr>
      <w:sz w:val="20"/>
      <w:szCs w:val="20"/>
    </w:rPr>
  </w:style>
  <w:style w:type="paragraph" w:styleId="TOC5">
    <w:name w:val="toc 5"/>
    <w:basedOn w:val="Normal"/>
    <w:next w:val="Normal"/>
    <w:autoRedefine/>
    <w:uiPriority w:val="39"/>
    <w:semiHidden/>
    <w:unhideWhenUsed/>
    <w:rsid w:val="001C23F3"/>
    <w:pPr>
      <w:spacing w:after="0"/>
      <w:ind w:left="880"/>
    </w:pPr>
    <w:rPr>
      <w:sz w:val="20"/>
      <w:szCs w:val="20"/>
    </w:rPr>
  </w:style>
  <w:style w:type="paragraph" w:styleId="TOC6">
    <w:name w:val="toc 6"/>
    <w:basedOn w:val="Normal"/>
    <w:next w:val="Normal"/>
    <w:autoRedefine/>
    <w:uiPriority w:val="39"/>
    <w:semiHidden/>
    <w:unhideWhenUsed/>
    <w:rsid w:val="001C23F3"/>
    <w:pPr>
      <w:spacing w:after="0"/>
      <w:ind w:left="1100"/>
    </w:pPr>
    <w:rPr>
      <w:sz w:val="20"/>
      <w:szCs w:val="20"/>
    </w:rPr>
  </w:style>
  <w:style w:type="paragraph" w:styleId="TOC7">
    <w:name w:val="toc 7"/>
    <w:basedOn w:val="Normal"/>
    <w:next w:val="Normal"/>
    <w:autoRedefine/>
    <w:uiPriority w:val="39"/>
    <w:semiHidden/>
    <w:unhideWhenUsed/>
    <w:rsid w:val="001C23F3"/>
    <w:pPr>
      <w:spacing w:after="0"/>
      <w:ind w:left="1320"/>
    </w:pPr>
    <w:rPr>
      <w:sz w:val="20"/>
      <w:szCs w:val="20"/>
    </w:rPr>
  </w:style>
  <w:style w:type="paragraph" w:styleId="TOC8">
    <w:name w:val="toc 8"/>
    <w:basedOn w:val="Normal"/>
    <w:next w:val="Normal"/>
    <w:autoRedefine/>
    <w:uiPriority w:val="39"/>
    <w:semiHidden/>
    <w:unhideWhenUsed/>
    <w:rsid w:val="001C23F3"/>
    <w:pPr>
      <w:spacing w:after="0"/>
      <w:ind w:left="1540"/>
    </w:pPr>
    <w:rPr>
      <w:sz w:val="20"/>
      <w:szCs w:val="20"/>
    </w:rPr>
  </w:style>
  <w:style w:type="paragraph" w:styleId="TOC9">
    <w:name w:val="toc 9"/>
    <w:basedOn w:val="Normal"/>
    <w:next w:val="Normal"/>
    <w:autoRedefine/>
    <w:uiPriority w:val="39"/>
    <w:semiHidden/>
    <w:unhideWhenUsed/>
    <w:rsid w:val="001C23F3"/>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acebook.com/groups/alevelpoliticsteachers/" TargetMode="External"/><Relationship Id="rId9" Type="http://schemas.openxmlformats.org/officeDocument/2006/relationships/hyperlink" Target="https://www.gov.uk/government/uploads/system/uploads/attachment_data/file/526474/gce-subject-level-guidance-for-politics.pdf" TargetMode="External"/><Relationship Id="rId10" Type="http://schemas.openxmlformats.org/officeDocument/2006/relationships/hyperlink" Target="https://www.gov.uk/government/uploads/system/uploads/attachment_data/file/526540/gce-subject-level-conditions-and-requirements-for-politic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utor2u.net/polit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AB22BD-D1A9-C94A-BA4D-1D60C946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3592</Words>
  <Characters>20481</Characters>
  <Application>Microsoft Macintosh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tutor2u</dc:creator>
  <cp:keywords/>
  <dc:description/>
  <cp:lastModifiedBy>Jim Riley</cp:lastModifiedBy>
  <cp:revision>2</cp:revision>
  <cp:lastPrinted>2016-09-09T08:57:00Z</cp:lastPrinted>
  <dcterms:created xsi:type="dcterms:W3CDTF">2016-09-22T15:23:00Z</dcterms:created>
  <dcterms:modified xsi:type="dcterms:W3CDTF">2016-09-22T15:23:00Z</dcterms:modified>
</cp:coreProperties>
</file>