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65323E" w14:textId="77777777" w:rsidR="00714CBA" w:rsidRPr="00371456" w:rsidRDefault="00714CBA" w:rsidP="00714CBA">
      <w:pPr>
        <w:rPr>
          <w:b/>
          <w:sz w:val="24"/>
        </w:rPr>
      </w:pPr>
      <w:r w:rsidRPr="00371456">
        <w:rPr>
          <w:b/>
          <w:sz w:val="24"/>
        </w:rPr>
        <w:t>Table S2: Sensitivity of seasonal and dry-year category definitions to cutoff threshold</w:t>
      </w:r>
    </w:p>
    <w:tbl>
      <w:tblPr>
        <w:tblW w:w="402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8"/>
        <w:gridCol w:w="1797"/>
        <w:gridCol w:w="1736"/>
        <w:gridCol w:w="2216"/>
      </w:tblGrid>
      <w:tr w:rsidR="00714CBA" w:rsidRPr="00D5302C" w14:paraId="643B3CEB" w14:textId="77777777" w:rsidTr="008228F1">
        <w:trPr>
          <w:trHeight w:val="300"/>
        </w:trPr>
        <w:tc>
          <w:tcPr>
            <w:tcW w:w="96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F454620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</w:p>
        </w:tc>
        <w:tc>
          <w:tcPr>
            <w:tcW w:w="4034" w:type="pct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F9FE5AE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  <w:r w:rsidRPr="00D5302C">
              <w:rPr>
                <w:rFonts w:eastAsia="Times New Roman"/>
                <w:color w:val="000000"/>
                <w:sz w:val="24"/>
              </w:rPr>
              <w:t>Distribution of watersheds in each depletion category</w:t>
            </w:r>
          </w:p>
        </w:tc>
      </w:tr>
      <w:tr w:rsidR="00714CBA" w:rsidRPr="00D5302C" w14:paraId="189D774A" w14:textId="77777777" w:rsidTr="008228F1">
        <w:trPr>
          <w:trHeight w:val="300"/>
        </w:trPr>
        <w:tc>
          <w:tcPr>
            <w:tcW w:w="966" w:type="pct"/>
            <w:tcBorders>
              <w:bottom w:val="nil"/>
            </w:tcBorders>
            <w:shd w:val="clear" w:color="auto" w:fill="auto"/>
            <w:noWrap/>
            <w:vAlign w:val="bottom"/>
          </w:tcPr>
          <w:p w14:paraId="4F9CF530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  <w:r w:rsidRPr="00D5302C">
              <w:rPr>
                <w:rFonts w:eastAsia="Times New Roman"/>
                <w:color w:val="000000"/>
                <w:sz w:val="24"/>
              </w:rPr>
              <w:t>Depletion Category</w:t>
            </w:r>
          </w:p>
        </w:tc>
        <w:tc>
          <w:tcPr>
            <w:tcW w:w="4034" w:type="pct"/>
            <w:gridSpan w:val="3"/>
            <w:tcBorders>
              <w:bottom w:val="nil"/>
            </w:tcBorders>
            <w:shd w:val="clear" w:color="auto" w:fill="auto"/>
            <w:noWrap/>
            <w:vAlign w:val="bottom"/>
          </w:tcPr>
          <w:p w14:paraId="537708E7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  <w:r w:rsidRPr="00D5302C">
              <w:rPr>
                <w:rFonts w:eastAsia="Times New Roman"/>
                <w:color w:val="000000"/>
                <w:sz w:val="24"/>
              </w:rPr>
              <w:t>Dry-year and seasonal depletion are defined by monthly or periodic depletion exceeding:</w:t>
            </w:r>
          </w:p>
        </w:tc>
      </w:tr>
      <w:tr w:rsidR="00714CBA" w:rsidRPr="00D5302C" w14:paraId="4CF08E1E" w14:textId="77777777" w:rsidTr="008228F1">
        <w:trPr>
          <w:trHeight w:val="300"/>
        </w:trPr>
        <w:tc>
          <w:tcPr>
            <w:tcW w:w="966" w:type="pct"/>
            <w:tcBorders>
              <w:top w:val="nil"/>
            </w:tcBorders>
            <w:shd w:val="clear" w:color="auto" w:fill="auto"/>
            <w:noWrap/>
            <w:vAlign w:val="bottom"/>
          </w:tcPr>
          <w:p w14:paraId="6BF5FE8A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</w:p>
        </w:tc>
        <w:tc>
          <w:tcPr>
            <w:tcW w:w="1261" w:type="pct"/>
            <w:tcBorders>
              <w:top w:val="nil"/>
            </w:tcBorders>
            <w:shd w:val="clear" w:color="auto" w:fill="auto"/>
            <w:noWrap/>
            <w:vAlign w:val="bottom"/>
          </w:tcPr>
          <w:p w14:paraId="5732D7DC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  <w:r w:rsidRPr="00D5302C">
              <w:rPr>
                <w:rFonts w:eastAsia="Times New Roman"/>
                <w:color w:val="000000"/>
                <w:sz w:val="24"/>
              </w:rPr>
              <w:t>50%</w:t>
            </w:r>
          </w:p>
        </w:tc>
        <w:tc>
          <w:tcPr>
            <w:tcW w:w="1218" w:type="pct"/>
            <w:tcBorders>
              <w:top w:val="nil"/>
            </w:tcBorders>
            <w:shd w:val="clear" w:color="auto" w:fill="auto"/>
            <w:noWrap/>
            <w:vAlign w:val="bottom"/>
          </w:tcPr>
          <w:p w14:paraId="54900A22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  <w:r w:rsidRPr="00D5302C">
              <w:rPr>
                <w:rFonts w:eastAsia="Times New Roman"/>
                <w:color w:val="000000"/>
                <w:sz w:val="24"/>
              </w:rPr>
              <w:t>75%</w:t>
            </w:r>
          </w:p>
        </w:tc>
        <w:tc>
          <w:tcPr>
            <w:tcW w:w="1555" w:type="pct"/>
            <w:tcBorders>
              <w:top w:val="nil"/>
            </w:tcBorders>
            <w:shd w:val="clear" w:color="auto" w:fill="auto"/>
            <w:noWrap/>
            <w:vAlign w:val="bottom"/>
          </w:tcPr>
          <w:p w14:paraId="34E193D1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  <w:r w:rsidRPr="00D5302C">
              <w:rPr>
                <w:rFonts w:eastAsia="Times New Roman"/>
                <w:color w:val="000000"/>
                <w:sz w:val="24"/>
              </w:rPr>
              <w:t>100%</w:t>
            </w:r>
          </w:p>
        </w:tc>
      </w:tr>
      <w:tr w:rsidR="00714CBA" w:rsidRPr="00D5302C" w14:paraId="40555000" w14:textId="77777777" w:rsidTr="008228F1">
        <w:trPr>
          <w:trHeight w:val="300"/>
        </w:trPr>
        <w:tc>
          <w:tcPr>
            <w:tcW w:w="966" w:type="pct"/>
            <w:shd w:val="clear" w:color="auto" w:fill="auto"/>
            <w:noWrap/>
            <w:vAlign w:val="bottom"/>
          </w:tcPr>
          <w:p w14:paraId="438902E5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  <w:r w:rsidRPr="00D5302C">
              <w:rPr>
                <w:rFonts w:eastAsia="Times New Roman"/>
                <w:color w:val="000000"/>
                <w:sz w:val="24"/>
              </w:rPr>
              <w:t>&lt;5%</w:t>
            </w:r>
          </w:p>
        </w:tc>
        <w:tc>
          <w:tcPr>
            <w:tcW w:w="1261" w:type="pct"/>
            <w:shd w:val="clear" w:color="auto" w:fill="auto"/>
            <w:noWrap/>
            <w:vAlign w:val="bottom"/>
          </w:tcPr>
          <w:p w14:paraId="7A40D78A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>9844</w:t>
            </w:r>
            <w:r w:rsidRPr="00D5302C">
              <w:rPr>
                <w:rFonts w:eastAsia="Times New Roman"/>
                <w:color w:val="000000"/>
                <w:sz w:val="24"/>
              </w:rPr>
              <w:t xml:space="preserve"> (6</w:t>
            </w:r>
            <w:r>
              <w:rPr>
                <w:rFonts w:eastAsia="Times New Roman"/>
                <w:color w:val="000000"/>
                <w:sz w:val="24"/>
              </w:rPr>
              <w:t>5</w:t>
            </w:r>
            <w:r w:rsidRPr="00D5302C">
              <w:rPr>
                <w:rFonts w:eastAsia="Times New Roman"/>
                <w:color w:val="000000"/>
                <w:sz w:val="24"/>
              </w:rPr>
              <w:t>%)</w:t>
            </w:r>
          </w:p>
        </w:tc>
        <w:tc>
          <w:tcPr>
            <w:tcW w:w="1218" w:type="pct"/>
            <w:shd w:val="clear" w:color="auto" w:fill="auto"/>
            <w:noWrap/>
            <w:vAlign w:val="bottom"/>
          </w:tcPr>
          <w:p w14:paraId="2499CCDC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>10202</w:t>
            </w:r>
            <w:r w:rsidRPr="00D5302C">
              <w:rPr>
                <w:rFonts w:eastAsia="Times New Roman"/>
                <w:color w:val="000000"/>
                <w:sz w:val="24"/>
              </w:rPr>
              <w:t xml:space="preserve"> (6</w:t>
            </w:r>
            <w:r>
              <w:rPr>
                <w:rFonts w:eastAsia="Times New Roman"/>
                <w:color w:val="000000"/>
                <w:sz w:val="24"/>
              </w:rPr>
              <w:t>8</w:t>
            </w:r>
            <w:r w:rsidRPr="00D5302C">
              <w:rPr>
                <w:rFonts w:eastAsia="Times New Roman"/>
                <w:color w:val="000000"/>
                <w:sz w:val="24"/>
              </w:rPr>
              <w:t>%)</w:t>
            </w:r>
          </w:p>
        </w:tc>
        <w:tc>
          <w:tcPr>
            <w:tcW w:w="1555" w:type="pct"/>
            <w:shd w:val="clear" w:color="auto" w:fill="auto"/>
            <w:noWrap/>
            <w:vAlign w:val="bottom"/>
          </w:tcPr>
          <w:p w14:paraId="3B54D3FC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>10392</w:t>
            </w:r>
            <w:r w:rsidRPr="00D5302C">
              <w:rPr>
                <w:rFonts w:eastAsia="Times New Roman"/>
                <w:color w:val="000000"/>
                <w:sz w:val="24"/>
              </w:rPr>
              <w:t xml:space="preserve"> (68%)</w:t>
            </w:r>
          </w:p>
        </w:tc>
      </w:tr>
      <w:tr w:rsidR="00714CBA" w:rsidRPr="00D5302C" w14:paraId="7EB97B27" w14:textId="77777777" w:rsidTr="008228F1">
        <w:trPr>
          <w:trHeight w:val="300"/>
        </w:trPr>
        <w:tc>
          <w:tcPr>
            <w:tcW w:w="966" w:type="pct"/>
            <w:shd w:val="clear" w:color="auto" w:fill="auto"/>
            <w:noWrap/>
            <w:vAlign w:val="bottom"/>
          </w:tcPr>
          <w:p w14:paraId="23EAE798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  <w:r w:rsidRPr="00D5302C">
              <w:rPr>
                <w:rFonts w:eastAsia="Times New Roman"/>
                <w:color w:val="000000"/>
                <w:sz w:val="24"/>
              </w:rPr>
              <w:t>5-25%</w:t>
            </w:r>
          </w:p>
        </w:tc>
        <w:tc>
          <w:tcPr>
            <w:tcW w:w="1261" w:type="pct"/>
            <w:shd w:val="clear" w:color="auto" w:fill="auto"/>
            <w:noWrap/>
            <w:vAlign w:val="bottom"/>
          </w:tcPr>
          <w:p w14:paraId="05C372A9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>40</w:t>
            </w:r>
            <w:r w:rsidRPr="00D5302C">
              <w:rPr>
                <w:rFonts w:eastAsia="Times New Roman"/>
                <w:color w:val="000000"/>
                <w:sz w:val="24"/>
              </w:rPr>
              <w:t xml:space="preserve"> (0</w:t>
            </w:r>
            <w:r>
              <w:rPr>
                <w:rFonts w:eastAsia="Times New Roman"/>
                <w:color w:val="000000"/>
                <w:sz w:val="24"/>
              </w:rPr>
              <w:t>.3</w:t>
            </w:r>
            <w:r w:rsidRPr="00D5302C">
              <w:rPr>
                <w:rFonts w:eastAsia="Times New Roman"/>
                <w:color w:val="000000"/>
                <w:sz w:val="24"/>
              </w:rPr>
              <w:t>%)</w:t>
            </w:r>
          </w:p>
        </w:tc>
        <w:tc>
          <w:tcPr>
            <w:tcW w:w="1218" w:type="pct"/>
            <w:shd w:val="clear" w:color="auto" w:fill="auto"/>
            <w:noWrap/>
            <w:vAlign w:val="bottom"/>
          </w:tcPr>
          <w:p w14:paraId="361278F7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  <w:r w:rsidRPr="00D5302C">
              <w:rPr>
                <w:rFonts w:eastAsia="Times New Roman"/>
                <w:color w:val="000000"/>
                <w:sz w:val="24"/>
              </w:rPr>
              <w:t>7</w:t>
            </w:r>
            <w:r>
              <w:rPr>
                <w:rFonts w:eastAsia="Times New Roman"/>
                <w:color w:val="000000"/>
                <w:sz w:val="24"/>
              </w:rPr>
              <w:t>9</w:t>
            </w:r>
            <w:r w:rsidRPr="00D5302C">
              <w:rPr>
                <w:rFonts w:eastAsia="Times New Roman"/>
                <w:color w:val="000000"/>
                <w:sz w:val="24"/>
              </w:rPr>
              <w:t xml:space="preserve"> (</w:t>
            </w:r>
            <w:r>
              <w:rPr>
                <w:rFonts w:eastAsia="Times New Roman"/>
                <w:color w:val="000000"/>
                <w:sz w:val="24"/>
              </w:rPr>
              <w:t>0.5</w:t>
            </w:r>
            <w:r w:rsidRPr="00D5302C">
              <w:rPr>
                <w:rFonts w:eastAsia="Times New Roman"/>
                <w:color w:val="000000"/>
                <w:sz w:val="24"/>
              </w:rPr>
              <w:t>%)</w:t>
            </w:r>
          </w:p>
        </w:tc>
        <w:tc>
          <w:tcPr>
            <w:tcW w:w="1555" w:type="pct"/>
            <w:shd w:val="clear" w:color="auto" w:fill="auto"/>
            <w:noWrap/>
            <w:vAlign w:val="bottom"/>
          </w:tcPr>
          <w:p w14:paraId="7DB75EB7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  <w:highlight w:val="yellow"/>
              </w:rPr>
            </w:pPr>
            <w:r>
              <w:rPr>
                <w:rFonts w:eastAsia="Times New Roman"/>
                <w:color w:val="000000"/>
                <w:sz w:val="24"/>
              </w:rPr>
              <w:t>125</w:t>
            </w:r>
            <w:r w:rsidRPr="00D5302C">
              <w:rPr>
                <w:rFonts w:eastAsia="Times New Roman"/>
                <w:color w:val="000000"/>
                <w:sz w:val="24"/>
              </w:rPr>
              <w:t xml:space="preserve"> (1%)</w:t>
            </w:r>
          </w:p>
        </w:tc>
      </w:tr>
      <w:tr w:rsidR="00714CBA" w:rsidRPr="00D5302C" w14:paraId="55525BF7" w14:textId="77777777" w:rsidTr="008228F1">
        <w:trPr>
          <w:trHeight w:val="300"/>
        </w:trPr>
        <w:tc>
          <w:tcPr>
            <w:tcW w:w="966" w:type="pct"/>
            <w:shd w:val="clear" w:color="auto" w:fill="auto"/>
            <w:noWrap/>
            <w:vAlign w:val="bottom"/>
          </w:tcPr>
          <w:p w14:paraId="2CB67DEE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  <w:r w:rsidRPr="00D5302C">
              <w:rPr>
                <w:rFonts w:eastAsia="Times New Roman"/>
                <w:color w:val="000000"/>
                <w:sz w:val="24"/>
              </w:rPr>
              <w:t>25-50%</w:t>
            </w:r>
          </w:p>
        </w:tc>
        <w:tc>
          <w:tcPr>
            <w:tcW w:w="1261" w:type="pct"/>
            <w:shd w:val="clear" w:color="auto" w:fill="auto"/>
            <w:noWrap/>
            <w:vAlign w:val="bottom"/>
          </w:tcPr>
          <w:p w14:paraId="7009E98D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  <w:r w:rsidRPr="00D5302C">
              <w:rPr>
                <w:rFonts w:eastAsia="Times New Roman"/>
                <w:color w:val="000000"/>
                <w:sz w:val="24"/>
              </w:rPr>
              <w:t>0 (0%)</w:t>
            </w:r>
          </w:p>
        </w:tc>
        <w:tc>
          <w:tcPr>
            <w:tcW w:w="1218" w:type="pct"/>
            <w:shd w:val="clear" w:color="auto" w:fill="auto"/>
            <w:noWrap/>
            <w:vAlign w:val="bottom"/>
          </w:tcPr>
          <w:p w14:paraId="4751BB1C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  <w:r w:rsidRPr="00D5302C">
              <w:rPr>
                <w:rFonts w:eastAsia="Times New Roman"/>
                <w:color w:val="000000"/>
                <w:sz w:val="24"/>
              </w:rPr>
              <w:t>0 (0%)</w:t>
            </w:r>
          </w:p>
        </w:tc>
        <w:tc>
          <w:tcPr>
            <w:tcW w:w="1555" w:type="pct"/>
            <w:shd w:val="clear" w:color="auto" w:fill="auto"/>
            <w:noWrap/>
            <w:vAlign w:val="bottom"/>
          </w:tcPr>
          <w:p w14:paraId="258408CD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  <w:highlight w:val="yellow"/>
              </w:rPr>
            </w:pPr>
            <w:r w:rsidRPr="00D5302C">
              <w:rPr>
                <w:rFonts w:eastAsia="Times New Roman"/>
                <w:color w:val="000000"/>
                <w:sz w:val="24"/>
              </w:rPr>
              <w:t>0 (0%)</w:t>
            </w:r>
          </w:p>
        </w:tc>
        <w:bookmarkStart w:id="0" w:name="_GoBack"/>
        <w:bookmarkEnd w:id="0"/>
      </w:tr>
      <w:tr w:rsidR="00714CBA" w:rsidRPr="00D5302C" w14:paraId="552217F5" w14:textId="77777777" w:rsidTr="008228F1">
        <w:trPr>
          <w:trHeight w:val="300"/>
        </w:trPr>
        <w:tc>
          <w:tcPr>
            <w:tcW w:w="966" w:type="pct"/>
            <w:shd w:val="clear" w:color="auto" w:fill="auto"/>
            <w:noWrap/>
            <w:vAlign w:val="bottom"/>
          </w:tcPr>
          <w:p w14:paraId="539EF51C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  <w:r w:rsidRPr="00D5302C">
              <w:rPr>
                <w:rFonts w:eastAsia="Times New Roman"/>
                <w:color w:val="000000"/>
                <w:sz w:val="24"/>
              </w:rPr>
              <w:t>50-75%</w:t>
            </w:r>
          </w:p>
        </w:tc>
        <w:tc>
          <w:tcPr>
            <w:tcW w:w="1261" w:type="pct"/>
            <w:shd w:val="clear" w:color="auto" w:fill="auto"/>
            <w:noWrap/>
            <w:vAlign w:val="bottom"/>
          </w:tcPr>
          <w:p w14:paraId="142E1FF9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>128</w:t>
            </w:r>
            <w:r w:rsidRPr="00D5302C">
              <w:rPr>
                <w:rFonts w:eastAsia="Times New Roman"/>
                <w:color w:val="000000"/>
                <w:sz w:val="24"/>
              </w:rPr>
              <w:t xml:space="preserve"> (1%)</w:t>
            </w:r>
          </w:p>
        </w:tc>
        <w:tc>
          <w:tcPr>
            <w:tcW w:w="1218" w:type="pct"/>
            <w:shd w:val="clear" w:color="auto" w:fill="auto"/>
            <w:noWrap/>
            <w:vAlign w:val="bottom"/>
          </w:tcPr>
          <w:p w14:paraId="488D3D0B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  <w:r w:rsidRPr="00D5302C">
              <w:rPr>
                <w:rFonts w:eastAsia="Times New Roman"/>
                <w:color w:val="000000"/>
                <w:sz w:val="24"/>
              </w:rPr>
              <w:t>0 (0%)</w:t>
            </w:r>
          </w:p>
        </w:tc>
        <w:tc>
          <w:tcPr>
            <w:tcW w:w="1555" w:type="pct"/>
            <w:shd w:val="clear" w:color="auto" w:fill="auto"/>
            <w:noWrap/>
            <w:vAlign w:val="bottom"/>
          </w:tcPr>
          <w:p w14:paraId="6D6BA191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  <w:highlight w:val="yellow"/>
              </w:rPr>
            </w:pPr>
            <w:r w:rsidRPr="00D5302C">
              <w:rPr>
                <w:rFonts w:eastAsia="Times New Roman"/>
                <w:color w:val="000000"/>
                <w:sz w:val="24"/>
              </w:rPr>
              <w:t>0 (0%)</w:t>
            </w:r>
          </w:p>
        </w:tc>
      </w:tr>
      <w:tr w:rsidR="00714CBA" w:rsidRPr="00D5302C" w14:paraId="77766D87" w14:textId="77777777" w:rsidTr="008228F1">
        <w:trPr>
          <w:trHeight w:val="300"/>
        </w:trPr>
        <w:tc>
          <w:tcPr>
            <w:tcW w:w="966" w:type="pct"/>
            <w:shd w:val="clear" w:color="auto" w:fill="auto"/>
            <w:noWrap/>
            <w:vAlign w:val="bottom"/>
          </w:tcPr>
          <w:p w14:paraId="17FDFB95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  <w:r w:rsidRPr="00D5302C">
              <w:rPr>
                <w:rFonts w:eastAsia="Times New Roman"/>
                <w:color w:val="000000"/>
                <w:sz w:val="24"/>
              </w:rPr>
              <w:t>75-100%</w:t>
            </w:r>
          </w:p>
        </w:tc>
        <w:tc>
          <w:tcPr>
            <w:tcW w:w="1261" w:type="pct"/>
            <w:shd w:val="clear" w:color="auto" w:fill="auto"/>
            <w:noWrap/>
            <w:vAlign w:val="bottom"/>
          </w:tcPr>
          <w:p w14:paraId="05A933FC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  <w:highlight w:val="yellow"/>
              </w:rPr>
            </w:pPr>
            <w:r>
              <w:rPr>
                <w:rFonts w:eastAsia="Times New Roman"/>
                <w:color w:val="000000"/>
                <w:sz w:val="24"/>
              </w:rPr>
              <w:t>73</w:t>
            </w:r>
            <w:r w:rsidRPr="00D5302C">
              <w:rPr>
                <w:rFonts w:eastAsia="Times New Roman"/>
                <w:color w:val="000000"/>
                <w:sz w:val="24"/>
              </w:rPr>
              <w:t xml:space="preserve"> (0</w:t>
            </w:r>
            <w:r>
              <w:rPr>
                <w:rFonts w:eastAsia="Times New Roman"/>
                <w:color w:val="000000"/>
                <w:sz w:val="24"/>
              </w:rPr>
              <w:t>.5</w:t>
            </w:r>
            <w:r w:rsidRPr="00D5302C">
              <w:rPr>
                <w:rFonts w:eastAsia="Times New Roman"/>
                <w:color w:val="000000"/>
                <w:sz w:val="24"/>
              </w:rPr>
              <w:t>%)</w:t>
            </w:r>
          </w:p>
        </w:tc>
        <w:tc>
          <w:tcPr>
            <w:tcW w:w="1218" w:type="pct"/>
            <w:shd w:val="clear" w:color="auto" w:fill="auto"/>
            <w:noWrap/>
            <w:vAlign w:val="bottom"/>
          </w:tcPr>
          <w:p w14:paraId="473C0E82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  <w:highlight w:val="yellow"/>
              </w:rPr>
            </w:pPr>
            <w:r>
              <w:rPr>
                <w:rFonts w:eastAsia="Times New Roman"/>
                <w:color w:val="000000"/>
                <w:sz w:val="24"/>
              </w:rPr>
              <w:t>73</w:t>
            </w:r>
            <w:r w:rsidRPr="00D5302C">
              <w:rPr>
                <w:rFonts w:eastAsia="Times New Roman"/>
                <w:color w:val="000000"/>
                <w:sz w:val="24"/>
              </w:rPr>
              <w:t xml:space="preserve"> (</w:t>
            </w:r>
            <w:r>
              <w:rPr>
                <w:rFonts w:eastAsia="Times New Roman"/>
                <w:color w:val="000000"/>
                <w:sz w:val="24"/>
              </w:rPr>
              <w:t>0.5</w:t>
            </w:r>
            <w:r w:rsidRPr="00D5302C">
              <w:rPr>
                <w:rFonts w:eastAsia="Times New Roman"/>
                <w:color w:val="000000"/>
                <w:sz w:val="24"/>
              </w:rPr>
              <w:t>%)</w:t>
            </w:r>
          </w:p>
        </w:tc>
        <w:tc>
          <w:tcPr>
            <w:tcW w:w="1555" w:type="pct"/>
            <w:shd w:val="clear" w:color="auto" w:fill="auto"/>
            <w:noWrap/>
            <w:vAlign w:val="bottom"/>
          </w:tcPr>
          <w:p w14:paraId="66056166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  <w:highlight w:val="yellow"/>
              </w:rPr>
            </w:pPr>
            <w:r w:rsidRPr="00D5302C">
              <w:rPr>
                <w:rFonts w:eastAsia="Times New Roman"/>
                <w:color w:val="000000"/>
                <w:sz w:val="24"/>
              </w:rPr>
              <w:t>0 (0%)</w:t>
            </w:r>
          </w:p>
        </w:tc>
      </w:tr>
      <w:tr w:rsidR="00714CBA" w:rsidRPr="00D5302C" w14:paraId="2FBE38B9" w14:textId="77777777" w:rsidTr="008228F1">
        <w:trPr>
          <w:trHeight w:val="300"/>
        </w:trPr>
        <w:tc>
          <w:tcPr>
            <w:tcW w:w="966" w:type="pct"/>
            <w:shd w:val="clear" w:color="auto" w:fill="auto"/>
            <w:noWrap/>
            <w:vAlign w:val="bottom"/>
          </w:tcPr>
          <w:p w14:paraId="1554CE54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  <w:r w:rsidRPr="00D5302C">
              <w:rPr>
                <w:rFonts w:eastAsia="Times New Roman"/>
                <w:color w:val="000000"/>
                <w:sz w:val="24"/>
              </w:rPr>
              <w:t>+100%</w:t>
            </w:r>
          </w:p>
        </w:tc>
        <w:tc>
          <w:tcPr>
            <w:tcW w:w="1261" w:type="pct"/>
            <w:shd w:val="clear" w:color="auto" w:fill="auto"/>
            <w:noWrap/>
            <w:vAlign w:val="bottom"/>
          </w:tcPr>
          <w:p w14:paraId="717C30C6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  <w:highlight w:val="yellow"/>
              </w:rPr>
            </w:pPr>
            <w:r>
              <w:rPr>
                <w:rFonts w:eastAsia="Times New Roman"/>
                <w:color w:val="000000"/>
                <w:sz w:val="24"/>
              </w:rPr>
              <w:t>253</w:t>
            </w:r>
            <w:r w:rsidRPr="00D5302C">
              <w:rPr>
                <w:rFonts w:eastAsia="Times New Roman"/>
                <w:color w:val="000000"/>
                <w:sz w:val="24"/>
              </w:rPr>
              <w:t xml:space="preserve"> (2%)</w:t>
            </w:r>
          </w:p>
        </w:tc>
        <w:tc>
          <w:tcPr>
            <w:tcW w:w="1218" w:type="pct"/>
            <w:shd w:val="clear" w:color="auto" w:fill="auto"/>
            <w:noWrap/>
            <w:vAlign w:val="bottom"/>
          </w:tcPr>
          <w:p w14:paraId="446807FA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  <w:highlight w:val="yellow"/>
              </w:rPr>
            </w:pPr>
            <w:r>
              <w:rPr>
                <w:rFonts w:eastAsia="Times New Roman"/>
                <w:color w:val="000000"/>
                <w:sz w:val="24"/>
              </w:rPr>
              <w:t>253</w:t>
            </w:r>
            <w:r w:rsidRPr="00D5302C">
              <w:rPr>
                <w:rFonts w:eastAsia="Times New Roman"/>
                <w:color w:val="000000"/>
                <w:sz w:val="24"/>
              </w:rPr>
              <w:t xml:space="preserve"> (2%)</w:t>
            </w:r>
          </w:p>
        </w:tc>
        <w:tc>
          <w:tcPr>
            <w:tcW w:w="1555" w:type="pct"/>
            <w:shd w:val="clear" w:color="auto" w:fill="auto"/>
            <w:noWrap/>
            <w:vAlign w:val="bottom"/>
          </w:tcPr>
          <w:p w14:paraId="6606D8F6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  <w:highlight w:val="yellow"/>
              </w:rPr>
            </w:pPr>
            <w:r>
              <w:rPr>
                <w:rFonts w:eastAsia="Times New Roman"/>
                <w:color w:val="000000"/>
                <w:sz w:val="24"/>
              </w:rPr>
              <w:t>253</w:t>
            </w:r>
            <w:r w:rsidRPr="00D5302C">
              <w:rPr>
                <w:rFonts w:eastAsia="Times New Roman"/>
                <w:color w:val="000000"/>
                <w:sz w:val="24"/>
              </w:rPr>
              <w:t xml:space="preserve"> (2%)</w:t>
            </w:r>
          </w:p>
        </w:tc>
      </w:tr>
      <w:tr w:rsidR="00714CBA" w:rsidRPr="00D5302C" w14:paraId="30D9C631" w14:textId="77777777" w:rsidTr="008228F1">
        <w:trPr>
          <w:trHeight w:val="300"/>
        </w:trPr>
        <w:tc>
          <w:tcPr>
            <w:tcW w:w="966" w:type="pct"/>
            <w:shd w:val="clear" w:color="auto" w:fill="auto"/>
            <w:noWrap/>
            <w:vAlign w:val="bottom"/>
          </w:tcPr>
          <w:p w14:paraId="2F92E581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  <w:r w:rsidRPr="00D5302C">
              <w:rPr>
                <w:rFonts w:eastAsia="Times New Roman"/>
                <w:color w:val="000000"/>
                <w:sz w:val="24"/>
              </w:rPr>
              <w:t>Dry-year</w:t>
            </w:r>
          </w:p>
        </w:tc>
        <w:tc>
          <w:tcPr>
            <w:tcW w:w="1261" w:type="pct"/>
            <w:shd w:val="clear" w:color="auto" w:fill="auto"/>
            <w:noWrap/>
            <w:vAlign w:val="bottom"/>
          </w:tcPr>
          <w:p w14:paraId="317B469A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>3165</w:t>
            </w:r>
            <w:r w:rsidRPr="00D5302C">
              <w:rPr>
                <w:rFonts w:eastAsia="Times New Roman"/>
                <w:color w:val="000000"/>
                <w:sz w:val="24"/>
              </w:rPr>
              <w:t xml:space="preserve"> (</w:t>
            </w:r>
            <w:r>
              <w:rPr>
                <w:rFonts w:eastAsia="Times New Roman"/>
                <w:color w:val="000000"/>
                <w:sz w:val="24"/>
              </w:rPr>
              <w:t>21</w:t>
            </w:r>
            <w:r w:rsidRPr="00D5302C">
              <w:rPr>
                <w:rFonts w:eastAsia="Times New Roman"/>
                <w:color w:val="000000"/>
                <w:sz w:val="24"/>
              </w:rPr>
              <w:t>%)</w:t>
            </w:r>
          </w:p>
        </w:tc>
        <w:tc>
          <w:tcPr>
            <w:tcW w:w="1218" w:type="pct"/>
            <w:shd w:val="clear" w:color="auto" w:fill="auto"/>
            <w:noWrap/>
            <w:vAlign w:val="bottom"/>
          </w:tcPr>
          <w:p w14:paraId="61505963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>3104</w:t>
            </w:r>
            <w:r w:rsidRPr="00D5302C">
              <w:rPr>
                <w:rFonts w:eastAsia="Times New Roman"/>
                <w:color w:val="000000"/>
                <w:sz w:val="24"/>
              </w:rPr>
              <w:t xml:space="preserve"> (</w:t>
            </w:r>
            <w:r>
              <w:rPr>
                <w:rFonts w:eastAsia="Times New Roman"/>
                <w:color w:val="000000"/>
                <w:sz w:val="24"/>
              </w:rPr>
              <w:t>21</w:t>
            </w:r>
            <w:r w:rsidRPr="00D5302C">
              <w:rPr>
                <w:rFonts w:eastAsia="Times New Roman"/>
                <w:color w:val="000000"/>
                <w:sz w:val="24"/>
              </w:rPr>
              <w:t>%)</w:t>
            </w:r>
          </w:p>
        </w:tc>
        <w:tc>
          <w:tcPr>
            <w:tcW w:w="1555" w:type="pct"/>
            <w:shd w:val="clear" w:color="auto" w:fill="auto"/>
            <w:noWrap/>
            <w:vAlign w:val="bottom"/>
          </w:tcPr>
          <w:p w14:paraId="628203D4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>3054</w:t>
            </w:r>
            <w:r w:rsidRPr="00D5302C">
              <w:rPr>
                <w:rFonts w:eastAsia="Times New Roman"/>
                <w:color w:val="000000"/>
                <w:sz w:val="24"/>
              </w:rPr>
              <w:t xml:space="preserve"> (</w:t>
            </w:r>
            <w:r>
              <w:rPr>
                <w:rFonts w:eastAsia="Times New Roman"/>
                <w:color w:val="000000"/>
                <w:sz w:val="24"/>
              </w:rPr>
              <w:t>20</w:t>
            </w:r>
            <w:r w:rsidRPr="00D5302C">
              <w:rPr>
                <w:rFonts w:eastAsia="Times New Roman"/>
                <w:color w:val="000000"/>
                <w:sz w:val="24"/>
              </w:rPr>
              <w:t>%)</w:t>
            </w:r>
          </w:p>
        </w:tc>
      </w:tr>
      <w:tr w:rsidR="00714CBA" w:rsidRPr="00D5302C" w14:paraId="55651E5B" w14:textId="77777777" w:rsidTr="008228F1">
        <w:trPr>
          <w:trHeight w:val="300"/>
        </w:trPr>
        <w:tc>
          <w:tcPr>
            <w:tcW w:w="966" w:type="pct"/>
            <w:shd w:val="clear" w:color="auto" w:fill="auto"/>
            <w:noWrap/>
            <w:vAlign w:val="bottom"/>
          </w:tcPr>
          <w:p w14:paraId="2D95080A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  <w:r w:rsidRPr="00D5302C">
              <w:rPr>
                <w:rFonts w:eastAsia="Times New Roman"/>
                <w:color w:val="000000"/>
                <w:sz w:val="24"/>
              </w:rPr>
              <w:t>Seasonal</w:t>
            </w:r>
          </w:p>
        </w:tc>
        <w:tc>
          <w:tcPr>
            <w:tcW w:w="1261" w:type="pct"/>
            <w:shd w:val="clear" w:color="auto" w:fill="auto"/>
            <w:noWrap/>
            <w:vAlign w:val="bottom"/>
          </w:tcPr>
          <w:p w14:paraId="496230FD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>1588</w:t>
            </w:r>
            <w:r w:rsidRPr="00D5302C">
              <w:rPr>
                <w:rFonts w:eastAsia="Times New Roman"/>
                <w:color w:val="000000"/>
                <w:sz w:val="24"/>
              </w:rPr>
              <w:t xml:space="preserve"> (</w:t>
            </w:r>
            <w:r>
              <w:rPr>
                <w:rFonts w:eastAsia="Times New Roman"/>
                <w:color w:val="000000"/>
                <w:sz w:val="24"/>
              </w:rPr>
              <w:t>11</w:t>
            </w:r>
            <w:r w:rsidRPr="00D5302C">
              <w:rPr>
                <w:rFonts w:eastAsia="Times New Roman"/>
                <w:color w:val="000000"/>
                <w:sz w:val="24"/>
              </w:rPr>
              <w:t>%)</w:t>
            </w:r>
          </w:p>
        </w:tc>
        <w:tc>
          <w:tcPr>
            <w:tcW w:w="1218" w:type="pct"/>
            <w:shd w:val="clear" w:color="auto" w:fill="auto"/>
            <w:noWrap/>
            <w:vAlign w:val="bottom"/>
          </w:tcPr>
          <w:p w14:paraId="56FE2D14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>1380</w:t>
            </w:r>
            <w:r w:rsidRPr="00D5302C">
              <w:rPr>
                <w:rFonts w:eastAsia="Times New Roman"/>
                <w:color w:val="000000"/>
                <w:sz w:val="24"/>
              </w:rPr>
              <w:t xml:space="preserve"> (</w:t>
            </w:r>
            <w:r>
              <w:rPr>
                <w:rFonts w:eastAsia="Times New Roman"/>
                <w:color w:val="000000"/>
                <w:sz w:val="24"/>
              </w:rPr>
              <w:t>9</w:t>
            </w:r>
            <w:r w:rsidRPr="00D5302C">
              <w:rPr>
                <w:rFonts w:eastAsia="Times New Roman"/>
                <w:color w:val="000000"/>
                <w:sz w:val="24"/>
              </w:rPr>
              <w:t>%)</w:t>
            </w:r>
          </w:p>
        </w:tc>
        <w:tc>
          <w:tcPr>
            <w:tcW w:w="1555" w:type="pct"/>
            <w:shd w:val="clear" w:color="auto" w:fill="auto"/>
            <w:noWrap/>
            <w:vAlign w:val="bottom"/>
          </w:tcPr>
          <w:p w14:paraId="701449EE" w14:textId="77777777" w:rsidR="00714CBA" w:rsidRPr="00D5302C" w:rsidRDefault="00714CBA" w:rsidP="00EC5767">
            <w:pPr>
              <w:spacing w:line="240" w:lineRule="auto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>1267</w:t>
            </w:r>
            <w:r w:rsidRPr="00D5302C">
              <w:rPr>
                <w:rFonts w:eastAsia="Times New Roman"/>
                <w:color w:val="000000"/>
                <w:sz w:val="24"/>
              </w:rPr>
              <w:t xml:space="preserve"> (</w:t>
            </w:r>
            <w:r>
              <w:rPr>
                <w:rFonts w:eastAsia="Times New Roman"/>
                <w:color w:val="000000"/>
                <w:sz w:val="24"/>
              </w:rPr>
              <w:t>8</w:t>
            </w:r>
            <w:r w:rsidRPr="00D5302C">
              <w:rPr>
                <w:rFonts w:eastAsia="Times New Roman"/>
                <w:color w:val="000000"/>
                <w:sz w:val="24"/>
              </w:rPr>
              <w:t>%)</w:t>
            </w:r>
          </w:p>
        </w:tc>
      </w:tr>
    </w:tbl>
    <w:p w14:paraId="234A5C4E" w14:textId="77777777" w:rsidR="00714CBA" w:rsidRPr="00D5302C" w:rsidRDefault="00714CBA" w:rsidP="00EC5767">
      <w:pPr>
        <w:spacing w:line="240" w:lineRule="auto"/>
        <w:rPr>
          <w:sz w:val="24"/>
        </w:rPr>
      </w:pPr>
    </w:p>
    <w:p w14:paraId="76C3EE9B" w14:textId="77777777" w:rsidR="00B37648" w:rsidRPr="00714CBA" w:rsidRDefault="00B37648" w:rsidP="00EC5767">
      <w:pPr>
        <w:spacing w:line="240" w:lineRule="auto"/>
        <w:rPr>
          <w:b/>
        </w:rPr>
      </w:pPr>
    </w:p>
    <w:sectPr w:rsidR="00B37648" w:rsidRPr="00714CBA" w:rsidSect="00AE3712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CBA"/>
    <w:rsid w:val="0016724B"/>
    <w:rsid w:val="003B78FB"/>
    <w:rsid w:val="00477EB8"/>
    <w:rsid w:val="00506F9D"/>
    <w:rsid w:val="00714CBA"/>
    <w:rsid w:val="00AB4AA7"/>
    <w:rsid w:val="00AE3712"/>
    <w:rsid w:val="00B37648"/>
    <w:rsid w:val="00BB6EDE"/>
    <w:rsid w:val="00EC5767"/>
    <w:rsid w:val="00F6475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D3B48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CBA"/>
    <w:pPr>
      <w:spacing w:after="200" w:line="360" w:lineRule="auto"/>
    </w:pPr>
    <w:rPr>
      <w:rFonts w:ascii="Times" w:eastAsiaTheme="minorHAnsi" w:hAnsi="Times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Kate">
    <w:name w:val="Kate"/>
    <w:basedOn w:val="Normal"/>
    <w:qFormat/>
    <w:rsid w:val="0016724B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CBA"/>
    <w:pPr>
      <w:spacing w:after="200" w:line="360" w:lineRule="auto"/>
    </w:pPr>
    <w:rPr>
      <w:rFonts w:ascii="Times" w:eastAsiaTheme="minorHAnsi" w:hAnsi="Times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Kate">
    <w:name w:val="Kate"/>
    <w:basedOn w:val="Normal"/>
    <w:qFormat/>
    <w:rsid w:val="0016724B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476</Characters>
  <Application>Microsoft Macintosh Word</Application>
  <DocSecurity>0</DocSecurity>
  <Lines>3</Lines>
  <Paragraphs>1</Paragraphs>
  <ScaleCrop>false</ScaleCrop>
  <Company>University of Minnesota</Company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Brauman</dc:creator>
  <cp:keywords/>
  <dc:description/>
  <cp:lastModifiedBy>Kate Brauman</cp:lastModifiedBy>
  <cp:revision>2</cp:revision>
  <dcterms:created xsi:type="dcterms:W3CDTF">2015-10-16T18:17:00Z</dcterms:created>
  <dcterms:modified xsi:type="dcterms:W3CDTF">2015-10-16T18:17:00Z</dcterms:modified>
</cp:coreProperties>
</file>